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A5374" w14:textId="52CA4A17" w:rsidR="00AD4BE4" w:rsidRPr="006C2433" w:rsidRDefault="00B81BE8" w:rsidP="006C2433">
      <w:pPr>
        <w:pStyle w:val="Heading1"/>
        <w:jc w:val="center"/>
        <w:rPr>
          <w:rFonts w:eastAsia="Times New Roman"/>
          <w:sz w:val="48"/>
          <w:szCs w:val="48"/>
          <w:lang w:eastAsia="en-GB"/>
        </w:rPr>
      </w:pPr>
      <w:r w:rsidRPr="006C2433">
        <w:rPr>
          <w:rFonts w:ascii="Apple Color Emoji" w:eastAsia="Times New Roman" w:hAnsi="Apple Color Emoji" w:cs="Apple Color Emoji"/>
          <w:sz w:val="48"/>
          <w:szCs w:val="48"/>
          <w:lang w:eastAsia="en-GB"/>
        </w:rPr>
        <w:t>📊</w:t>
      </w:r>
      <w:r w:rsidRPr="006C2433">
        <w:rPr>
          <w:rFonts w:eastAsia="Times New Roman"/>
          <w:sz w:val="48"/>
          <w:szCs w:val="48"/>
          <w:lang w:eastAsia="en-GB"/>
        </w:rPr>
        <w:t xml:space="preserve"> Trading Volume Spike Analysis: AAPL</w:t>
      </w:r>
    </w:p>
    <w:p w14:paraId="1FEDB643" w14:textId="77777777" w:rsidR="00AD4BE4" w:rsidRPr="008114B3" w:rsidRDefault="00AD4BE4" w:rsidP="006C2433">
      <w:pPr>
        <w:pStyle w:val="Heading2"/>
        <w:rPr>
          <w:rFonts w:eastAsia="Times New Roman"/>
          <w:lang w:eastAsia="en-GB"/>
        </w:rPr>
      </w:pPr>
      <w:r w:rsidRPr="008114B3">
        <w:rPr>
          <w:rFonts w:eastAsia="Times New Roman"/>
          <w:lang w:eastAsia="en-GB"/>
        </w:rPr>
        <w:t>1. Data Loading and Initial Inspection</w:t>
      </w:r>
    </w:p>
    <w:p w14:paraId="32725991" w14:textId="77777777" w:rsidR="00AD4BE4" w:rsidRPr="008114B3" w:rsidRDefault="00AD4BE4" w:rsidP="00AD4BE4">
      <w:pPr>
        <w:numPr>
          <w:ilvl w:val="0"/>
          <w:numId w:val="18"/>
        </w:numPr>
        <w:spacing w:before="120" w:after="9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b/>
          <w:bCs/>
          <w:color w:val="1F1F1F"/>
          <w:kern w:val="0"/>
          <w:lang w:eastAsia="en-GB"/>
          <w14:ligatures w14:val="none"/>
        </w:rPr>
        <w:t>Initial Inspection:</w:t>
      </w:r>
      <w:r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> Using </w:t>
      </w:r>
      <w:r w:rsidRPr="008114B3">
        <w:rPr>
          <w:rFonts w:ascii="Aptos" w:eastAsia="Times New Roman" w:hAnsi="Aptos" w:cs="Courier New"/>
          <w:color w:val="1F1F1F"/>
          <w:kern w:val="0"/>
          <w:lang w:eastAsia="en-GB"/>
          <w14:ligatures w14:val="none"/>
        </w:rPr>
        <w:t>data.head()</w:t>
      </w:r>
      <w:r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>, </w:t>
      </w:r>
      <w:r w:rsidRPr="008114B3">
        <w:rPr>
          <w:rFonts w:ascii="Aptos" w:eastAsia="Times New Roman" w:hAnsi="Aptos" w:cs="Courier New"/>
          <w:color w:val="1F1F1F"/>
          <w:kern w:val="0"/>
          <w:lang w:eastAsia="en-GB"/>
          <w14:ligatures w14:val="none"/>
        </w:rPr>
        <w:t>data.info()</w:t>
      </w:r>
      <w:r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>, and </w:t>
      </w:r>
      <w:r w:rsidRPr="008114B3">
        <w:rPr>
          <w:rFonts w:ascii="Aptos" w:eastAsia="Times New Roman" w:hAnsi="Aptos" w:cs="Courier New"/>
          <w:color w:val="1F1F1F"/>
          <w:kern w:val="0"/>
          <w:lang w:eastAsia="en-GB"/>
          <w14:ligatures w14:val="none"/>
        </w:rPr>
        <w:t>data.shape</w:t>
      </w:r>
      <w:r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>, we get an overview of the data. </w:t>
      </w:r>
    </w:p>
    <w:p w14:paraId="67E2DAD4" w14:textId="77777777" w:rsidR="00AD4BE4" w:rsidRPr="008114B3" w:rsidRDefault="00AD4BE4" w:rsidP="00AD4BE4">
      <w:pPr>
        <w:numPr>
          <w:ilvl w:val="1"/>
          <w:numId w:val="18"/>
        </w:numPr>
        <w:spacing w:before="100" w:beforeAutospacing="1" w:after="100" w:afterAutospacing="1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>We see the first few rows of the data, including the different columns. </w:t>
      </w:r>
    </w:p>
    <w:p w14:paraId="02009B95" w14:textId="096F2CDF" w:rsidR="00642A2C" w:rsidRDefault="00642A2C" w:rsidP="00642A2C">
      <w:pPr>
        <w:spacing w:before="100" w:beforeAutospacing="1" w:after="100" w:afterAutospacing="1"/>
        <w:ind w:left="1134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noProof/>
          <w:color w:val="1F1F1F"/>
          <w:kern w:val="0"/>
          <w:lang w:eastAsia="en-GB"/>
          <w14:ligatures w14:val="none"/>
        </w:rPr>
        <w:drawing>
          <wp:inline distT="0" distB="0" distL="0" distR="0" wp14:anchorId="09192D4C" wp14:editId="437175FB">
            <wp:extent cx="4893013" cy="1708150"/>
            <wp:effectExtent l="0" t="0" r="0" b="0"/>
            <wp:docPr id="428121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215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587" cy="171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2DD9" w14:textId="21EC12EE" w:rsidR="006C2433" w:rsidRPr="006C2433" w:rsidRDefault="006C2433" w:rsidP="00642A2C">
      <w:pPr>
        <w:spacing w:before="100" w:beforeAutospacing="1" w:after="100" w:afterAutospacing="1"/>
        <w:ind w:left="1134"/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</w:pP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Fig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u</w:t>
      </w: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re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 xml:space="preserve"> </w:t>
      </w: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1. Dataset in pandas DataFrame</w:t>
      </w:r>
    </w:p>
    <w:p w14:paraId="04F1D7FA" w14:textId="7D3A5515" w:rsidR="00AD4BE4" w:rsidRPr="008114B3" w:rsidRDefault="00AD4BE4" w:rsidP="00AD4BE4">
      <w:pPr>
        <w:numPr>
          <w:ilvl w:val="1"/>
          <w:numId w:val="18"/>
        </w:numPr>
        <w:spacing w:before="100" w:beforeAutospacing="1" w:after="100" w:afterAutospacing="1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Courier New"/>
          <w:color w:val="1F1F1F"/>
          <w:kern w:val="0"/>
          <w:lang w:eastAsia="en-GB"/>
          <w14:ligatures w14:val="none"/>
        </w:rPr>
        <w:t>data.info()</w:t>
      </w:r>
      <w:r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 xml:space="preserve"> reveals the data types of each column, presence of missing values (if any), </w:t>
      </w:r>
    </w:p>
    <w:p w14:paraId="511AD475" w14:textId="5616CC48" w:rsidR="00642A2C" w:rsidRDefault="00642A2C" w:rsidP="00642A2C">
      <w:pPr>
        <w:spacing w:before="100" w:beforeAutospacing="1" w:after="100" w:afterAutospacing="1"/>
        <w:ind w:left="144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noProof/>
          <w:color w:val="1F1F1F"/>
          <w:kern w:val="0"/>
          <w:lang w:eastAsia="en-GB"/>
          <w14:ligatures w14:val="none"/>
        </w:rPr>
        <w:drawing>
          <wp:inline distT="0" distB="0" distL="0" distR="0" wp14:anchorId="43A7D533" wp14:editId="23C02F7E">
            <wp:extent cx="4317571" cy="2490281"/>
            <wp:effectExtent l="0" t="0" r="635" b="0"/>
            <wp:docPr id="1292362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626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041" cy="251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69A7" w14:textId="61A21427" w:rsidR="006C2433" w:rsidRPr="006C2433" w:rsidRDefault="006C2433" w:rsidP="006C2433">
      <w:pPr>
        <w:spacing w:before="100" w:beforeAutospacing="1" w:after="100" w:afterAutospacing="1"/>
        <w:ind w:left="1134"/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</w:pP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Fig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u</w:t>
      </w: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re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 xml:space="preserve"> 2</w:t>
      </w: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 xml:space="preserve">. 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Dataset Information</w:t>
      </w:r>
    </w:p>
    <w:p w14:paraId="4CF746F2" w14:textId="77777777" w:rsidR="00AD4BE4" w:rsidRDefault="00AD4BE4" w:rsidP="00AD4BE4">
      <w:pPr>
        <w:numPr>
          <w:ilvl w:val="1"/>
          <w:numId w:val="18"/>
        </w:numPr>
        <w:spacing w:before="100" w:beforeAutospacing="1" w:after="100" w:afterAutospacing="1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Courier New"/>
          <w:color w:val="1F1F1F"/>
          <w:kern w:val="0"/>
          <w:lang w:eastAsia="en-GB"/>
          <w14:ligatures w14:val="none"/>
        </w:rPr>
        <w:t>data.shape</w:t>
      </w:r>
      <w:r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 xml:space="preserve"> tells us the dataset contains </w:t>
      </w:r>
      <w:proofErr w:type="gramStart"/>
      <w:r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>a large number of</w:t>
      </w:r>
      <w:proofErr w:type="gramEnd"/>
      <w:r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 xml:space="preserve"> rows (daily data) and several relevant columns for analysis.</w:t>
      </w:r>
    </w:p>
    <w:p w14:paraId="5FDB6893" w14:textId="77777777" w:rsidR="006C2433" w:rsidRDefault="006C2433" w:rsidP="006C2433">
      <w:pPr>
        <w:spacing w:before="100" w:beforeAutospacing="1" w:after="100" w:afterAutospacing="1"/>
        <w:ind w:left="72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</w:p>
    <w:p w14:paraId="4155F461" w14:textId="77777777" w:rsidR="006C2433" w:rsidRPr="008114B3" w:rsidRDefault="006C2433" w:rsidP="006C2433">
      <w:pPr>
        <w:spacing w:before="100" w:beforeAutospacing="1" w:after="100" w:afterAutospacing="1"/>
        <w:ind w:left="72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</w:p>
    <w:p w14:paraId="45698370" w14:textId="77777777" w:rsidR="00AD4BE4" w:rsidRPr="008114B3" w:rsidRDefault="00AD4BE4" w:rsidP="006C2433">
      <w:pPr>
        <w:pStyle w:val="Heading2"/>
        <w:rPr>
          <w:rFonts w:eastAsia="Times New Roman"/>
          <w:lang w:eastAsia="en-GB"/>
        </w:rPr>
      </w:pPr>
      <w:r w:rsidRPr="008114B3">
        <w:rPr>
          <w:rFonts w:eastAsia="Times New Roman"/>
          <w:lang w:eastAsia="en-GB"/>
        </w:rPr>
        <w:lastRenderedPageBreak/>
        <w:t>2. Data Cleaning</w:t>
      </w:r>
    </w:p>
    <w:p w14:paraId="30C311AF" w14:textId="171878BF" w:rsidR="00642A2C" w:rsidRPr="008114B3" w:rsidRDefault="00AD4BE4" w:rsidP="00642A2C">
      <w:pPr>
        <w:numPr>
          <w:ilvl w:val="0"/>
          <w:numId w:val="19"/>
        </w:numPr>
        <w:spacing w:before="120" w:after="9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b/>
          <w:bCs/>
          <w:color w:val="1F1F1F"/>
          <w:kern w:val="0"/>
          <w:lang w:eastAsia="en-GB"/>
          <w14:ligatures w14:val="none"/>
        </w:rPr>
        <w:t>Removing Redundant Data and Renaming Columns:</w:t>
      </w:r>
      <w:r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> </w:t>
      </w:r>
      <w:r w:rsidR="00642A2C"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 xml:space="preserve">As seen above, there is an unnecessary header row “AAPL”. We go ahead to remove this </w:t>
      </w:r>
      <w:r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>unnecessary header row</w:t>
      </w:r>
      <w:r w:rsidR="00642A2C"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 xml:space="preserve"> as it has no use. </w:t>
      </w:r>
    </w:p>
    <w:p w14:paraId="7B57DA8B" w14:textId="77777777" w:rsidR="00AD4BE4" w:rsidRPr="008114B3" w:rsidRDefault="00AD4BE4" w:rsidP="00AD4BE4">
      <w:pPr>
        <w:numPr>
          <w:ilvl w:val="0"/>
          <w:numId w:val="19"/>
        </w:numPr>
        <w:spacing w:before="120" w:after="9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b/>
          <w:bCs/>
          <w:color w:val="1F1F1F"/>
          <w:kern w:val="0"/>
          <w:lang w:eastAsia="en-GB"/>
          <w14:ligatures w14:val="none"/>
        </w:rPr>
        <w:t>Data Type Conversion:</w:t>
      </w:r>
      <w:r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> The 'Date' column is converted to the correct </w:t>
      </w:r>
      <w:r w:rsidRPr="008114B3">
        <w:rPr>
          <w:rFonts w:ascii="Aptos" w:eastAsia="Times New Roman" w:hAnsi="Aptos" w:cs="Courier New"/>
          <w:color w:val="1F1F1F"/>
          <w:kern w:val="0"/>
          <w:lang w:eastAsia="en-GB"/>
          <w14:ligatures w14:val="none"/>
        </w:rPr>
        <w:t>datetime</w:t>
      </w:r>
      <w:r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> data type, allowing for proper time-series analysis. Other numeric columns are also converted to their appropriate numeric types, facilitating calculations and visualizations.</w:t>
      </w:r>
    </w:p>
    <w:p w14:paraId="7467F7DC" w14:textId="77777777" w:rsidR="00AD4BE4" w:rsidRPr="008114B3" w:rsidRDefault="00AD4BE4" w:rsidP="00AD4BE4">
      <w:pPr>
        <w:numPr>
          <w:ilvl w:val="0"/>
          <w:numId w:val="19"/>
        </w:numPr>
        <w:spacing w:before="120" w:after="9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b/>
          <w:bCs/>
          <w:color w:val="1F1F1F"/>
          <w:kern w:val="0"/>
          <w:lang w:eastAsia="en-GB"/>
          <w14:ligatures w14:val="none"/>
        </w:rPr>
        <w:t>Cleaned Data:</w:t>
      </w:r>
      <w:r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> The final </w:t>
      </w:r>
      <w:r w:rsidRPr="008114B3">
        <w:rPr>
          <w:rFonts w:ascii="Aptos" w:eastAsia="Times New Roman" w:hAnsi="Aptos" w:cs="Courier New"/>
          <w:color w:val="1F1F1F"/>
          <w:kern w:val="0"/>
          <w:lang w:eastAsia="en-GB"/>
          <w14:ligatures w14:val="none"/>
        </w:rPr>
        <w:t>cleaned_data</w:t>
      </w:r>
      <w:r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>DataFrame is well-structured, with appropriate column names and data types, ready for in-depth analysis.</w:t>
      </w:r>
    </w:p>
    <w:p w14:paraId="5A2D23C9" w14:textId="77777777" w:rsidR="00642A2C" w:rsidRPr="008114B3" w:rsidRDefault="00642A2C" w:rsidP="00642A2C">
      <w:pPr>
        <w:spacing w:before="120" w:after="90"/>
        <w:ind w:left="720"/>
        <w:rPr>
          <w:rFonts w:ascii="Aptos" w:eastAsia="Times New Roman" w:hAnsi="Aptos" w:cs="Times New Roman"/>
          <w:b/>
          <w:bCs/>
          <w:color w:val="1F1F1F"/>
          <w:kern w:val="0"/>
          <w:lang w:eastAsia="en-GB"/>
          <w14:ligatures w14:val="none"/>
        </w:rPr>
      </w:pPr>
    </w:p>
    <w:p w14:paraId="1B8D524F" w14:textId="126D4939" w:rsidR="00642A2C" w:rsidRDefault="00642A2C" w:rsidP="00642A2C">
      <w:pPr>
        <w:spacing w:before="120" w:after="90"/>
        <w:ind w:left="72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noProof/>
          <w:color w:val="1F1F1F"/>
          <w:kern w:val="0"/>
          <w:lang w:eastAsia="en-GB"/>
          <w14:ligatures w14:val="none"/>
        </w:rPr>
        <w:drawing>
          <wp:inline distT="0" distB="0" distL="0" distR="0" wp14:anchorId="059EC62F" wp14:editId="71E40E1E">
            <wp:extent cx="4730636" cy="2986391"/>
            <wp:effectExtent l="0" t="0" r="0" b="0"/>
            <wp:docPr id="42553729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37297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994" cy="300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791A" w14:textId="5B7A41C3" w:rsidR="006C2433" w:rsidRPr="006C2433" w:rsidRDefault="006C2433" w:rsidP="006C2433">
      <w:pPr>
        <w:spacing w:before="100" w:beforeAutospacing="1" w:after="100" w:afterAutospacing="1"/>
        <w:ind w:left="1134"/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</w:pP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Fig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u</w:t>
      </w: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re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 xml:space="preserve"> 3</w:t>
      </w: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 xml:space="preserve">. 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Cleaned dataset</w:t>
      </w:r>
    </w:p>
    <w:p w14:paraId="641CBD99" w14:textId="77777777" w:rsidR="00AD4BE4" w:rsidRDefault="00AD4BE4" w:rsidP="006C2433">
      <w:pPr>
        <w:spacing w:before="120" w:after="9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</w:p>
    <w:p w14:paraId="3E3ED851" w14:textId="77777777" w:rsidR="006C2433" w:rsidRDefault="006C2433" w:rsidP="006C2433">
      <w:pPr>
        <w:spacing w:before="120" w:after="9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</w:p>
    <w:p w14:paraId="14521158" w14:textId="77777777" w:rsidR="006C2433" w:rsidRDefault="006C2433" w:rsidP="006C2433">
      <w:pPr>
        <w:spacing w:before="120" w:after="9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</w:p>
    <w:p w14:paraId="0897D008" w14:textId="77777777" w:rsidR="006C2433" w:rsidRDefault="006C2433" w:rsidP="006C2433">
      <w:pPr>
        <w:spacing w:before="120" w:after="9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</w:p>
    <w:p w14:paraId="06333B11" w14:textId="77777777" w:rsidR="006C2433" w:rsidRDefault="006C2433" w:rsidP="006C2433">
      <w:pPr>
        <w:spacing w:before="120" w:after="9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</w:p>
    <w:p w14:paraId="684DD449" w14:textId="77777777" w:rsidR="006C2433" w:rsidRDefault="006C2433" w:rsidP="006C2433">
      <w:pPr>
        <w:spacing w:before="120" w:after="9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</w:p>
    <w:p w14:paraId="06B2B38A" w14:textId="77777777" w:rsidR="006C2433" w:rsidRDefault="006C2433" w:rsidP="006C2433">
      <w:pPr>
        <w:spacing w:before="120" w:after="9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</w:p>
    <w:p w14:paraId="274B43EA" w14:textId="77777777" w:rsidR="006C2433" w:rsidRDefault="006C2433" w:rsidP="006C2433">
      <w:pPr>
        <w:spacing w:before="120" w:after="9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</w:p>
    <w:p w14:paraId="5456DE59" w14:textId="77777777" w:rsidR="006C2433" w:rsidRDefault="006C2433" w:rsidP="006C2433">
      <w:pPr>
        <w:spacing w:before="120" w:after="9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</w:p>
    <w:p w14:paraId="7F83F7A4" w14:textId="77777777" w:rsidR="006C2433" w:rsidRPr="008114B3" w:rsidRDefault="006C2433" w:rsidP="006C2433">
      <w:pPr>
        <w:spacing w:before="120" w:after="9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</w:p>
    <w:p w14:paraId="539CAC61" w14:textId="77777777" w:rsidR="00AD4BE4" w:rsidRPr="008114B3" w:rsidRDefault="00AD4BE4" w:rsidP="006C2433">
      <w:pPr>
        <w:pStyle w:val="Heading2"/>
        <w:rPr>
          <w:rFonts w:eastAsia="Times New Roman"/>
          <w:lang w:eastAsia="en-GB"/>
        </w:rPr>
      </w:pPr>
      <w:r w:rsidRPr="008114B3">
        <w:rPr>
          <w:rFonts w:eastAsia="Times New Roman"/>
          <w:lang w:eastAsia="en-GB"/>
        </w:rPr>
        <w:lastRenderedPageBreak/>
        <w:t>3. Data Exploration and Visualization</w:t>
      </w:r>
    </w:p>
    <w:p w14:paraId="3C8DF003" w14:textId="77777777" w:rsidR="00AD4BE4" w:rsidRPr="008114B3" w:rsidRDefault="00AD4BE4" w:rsidP="00AD4BE4">
      <w:pPr>
        <w:spacing w:before="120" w:after="9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>This section focuses on understanding the patterns and insights within the data:</w:t>
      </w:r>
    </w:p>
    <w:p w14:paraId="2C3D76B6" w14:textId="77777777" w:rsidR="00AD4BE4" w:rsidRPr="008114B3" w:rsidRDefault="00AD4BE4" w:rsidP="00AD4BE4">
      <w:pPr>
        <w:numPr>
          <w:ilvl w:val="0"/>
          <w:numId w:val="20"/>
        </w:numPr>
        <w:spacing w:before="120" w:after="9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b/>
          <w:bCs/>
          <w:color w:val="1F1F1F"/>
          <w:kern w:val="0"/>
          <w:lang w:eastAsia="en-GB"/>
          <w14:ligatures w14:val="none"/>
        </w:rPr>
        <w:t>Price Trends:</w:t>
      </w:r>
      <w:r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> Plotting high, low, open, and close prices reveals the overall price movement of Apple stock over time. We can identify periods of growth, decline, and volatility.</w:t>
      </w:r>
    </w:p>
    <w:p w14:paraId="24B2C363" w14:textId="11AE2DE3" w:rsidR="00642A2C" w:rsidRDefault="00642A2C" w:rsidP="00642A2C">
      <w:pPr>
        <w:spacing w:before="120" w:after="9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noProof/>
          <w:color w:val="1F1F1F"/>
          <w:kern w:val="0"/>
          <w:lang w:eastAsia="en-GB"/>
          <w14:ligatures w14:val="none"/>
        </w:rPr>
        <w:drawing>
          <wp:inline distT="0" distB="0" distL="0" distR="0" wp14:anchorId="15F87459" wp14:editId="71CD5D65">
            <wp:extent cx="5240045" cy="2869659"/>
            <wp:effectExtent l="0" t="0" r="5080" b="635"/>
            <wp:docPr id="1734946315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46315" name="Picture 1" descr="A graph with red and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43" cy="291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C76B" w14:textId="0CE550FF" w:rsidR="006C2433" w:rsidRPr="006C2433" w:rsidRDefault="006C2433" w:rsidP="006C2433">
      <w:pPr>
        <w:spacing w:before="100" w:beforeAutospacing="1" w:after="100" w:afterAutospacing="1"/>
        <w:ind w:left="1134"/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</w:pP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Fig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u</w:t>
      </w: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re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 xml:space="preserve"> 4</w:t>
      </w: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 xml:space="preserve">. 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Price Trends</w:t>
      </w:r>
    </w:p>
    <w:p w14:paraId="6546F02A" w14:textId="4ABC8DE6" w:rsidR="008114B3" w:rsidRPr="006C2433" w:rsidRDefault="008114B3" w:rsidP="008114B3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6C2433">
        <w:rPr>
          <w:rFonts w:ascii="Aptos" w:eastAsia="Times New Roman" w:hAnsi="Aptos" w:cs="Times New Roman"/>
          <w:kern w:val="0"/>
          <w:lang w:eastAsia="en-GB"/>
          <w14:ligatures w14:val="none"/>
        </w:rPr>
        <w:t>Observation:</w:t>
      </w:r>
    </w:p>
    <w:p w14:paraId="1935C991" w14:textId="77777777" w:rsidR="008114B3" w:rsidRPr="008114B3" w:rsidRDefault="008114B3" w:rsidP="008114B3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kern w:val="0"/>
          <w:lang w:eastAsia="en-GB"/>
          <w14:ligatures w14:val="none"/>
        </w:rPr>
        <w:t>The stock price has been on an upward trend since 2020. This reflects strong long-term growth and investor confidence in Apple's stock.</w:t>
      </w:r>
    </w:p>
    <w:p w14:paraId="07242D39" w14:textId="77777777" w:rsidR="008114B3" w:rsidRPr="008114B3" w:rsidRDefault="008114B3" w:rsidP="008114B3">
      <w:pPr>
        <w:numPr>
          <w:ilvl w:val="0"/>
          <w:numId w:val="28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kern w:val="0"/>
          <w:lang w:eastAsia="en-GB"/>
          <w14:ligatures w14:val="none"/>
        </w:rPr>
        <w:t>Significant fluctuations in price levels are visible as sharp rises and declines. This period may coincide with market uncertainty, macroeconomic events, or company-specific developments.</w:t>
      </w:r>
    </w:p>
    <w:p w14:paraId="6B9B87FC" w14:textId="77777777" w:rsidR="008114B3" w:rsidRPr="008114B3" w:rsidRDefault="008114B3" w:rsidP="008114B3">
      <w:pPr>
        <w:numPr>
          <w:ilvl w:val="0"/>
          <w:numId w:val="28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kern w:val="0"/>
          <w:lang w:eastAsia="en-GB"/>
          <w14:ligatures w14:val="none"/>
        </w:rPr>
        <w:t>Another period of short-term dips occurred in mid-2023, followed by a recovery.</w:t>
      </w:r>
    </w:p>
    <w:p w14:paraId="5308D153" w14:textId="77777777" w:rsidR="008114B3" w:rsidRPr="008114B3" w:rsidRDefault="008114B3" w:rsidP="008114B3">
      <w:pPr>
        <w:numPr>
          <w:ilvl w:val="0"/>
          <w:numId w:val="28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kern w:val="0"/>
          <w:lang w:eastAsia="en-GB"/>
          <w14:ligatures w14:val="none"/>
        </w:rPr>
        <w:t>The lines for High, Low, Open, and Close prices closely follow each other, suggesting relatively narrow daily price ranges</w:t>
      </w:r>
    </w:p>
    <w:p w14:paraId="3892E790" w14:textId="7C797A76" w:rsidR="008114B3" w:rsidRDefault="008114B3" w:rsidP="006C2433">
      <w:pPr>
        <w:numPr>
          <w:ilvl w:val="0"/>
          <w:numId w:val="28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kern w:val="0"/>
          <w:lang w:eastAsia="en-GB"/>
          <w14:ligatures w14:val="none"/>
        </w:rPr>
        <w:t>However, during periods of high volatility, the gap between High and Low prices is more pronounced, reflecting wider trading ranges.</w:t>
      </w:r>
    </w:p>
    <w:p w14:paraId="735164E7" w14:textId="77777777" w:rsidR="006C2433" w:rsidRPr="006C2433" w:rsidRDefault="006C2433" w:rsidP="006C2433">
      <w:pPr>
        <w:spacing w:before="100" w:beforeAutospacing="1" w:after="100" w:afterAutospacing="1"/>
        <w:ind w:left="2160"/>
        <w:rPr>
          <w:rFonts w:ascii="Aptos" w:eastAsia="Times New Roman" w:hAnsi="Aptos" w:cs="Times New Roman"/>
          <w:kern w:val="0"/>
          <w:lang w:eastAsia="en-GB"/>
          <w14:ligatures w14:val="none"/>
        </w:rPr>
      </w:pPr>
    </w:p>
    <w:p w14:paraId="4CFFF2DE" w14:textId="4FA51EC1" w:rsidR="00AD4BE4" w:rsidRPr="006C2433" w:rsidRDefault="00AD4BE4" w:rsidP="006C2433">
      <w:pPr>
        <w:pStyle w:val="ListParagraph"/>
        <w:numPr>
          <w:ilvl w:val="0"/>
          <w:numId w:val="34"/>
        </w:numPr>
        <w:spacing w:before="120" w:after="9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  <w:r w:rsidRPr="006C2433">
        <w:rPr>
          <w:rFonts w:ascii="Aptos" w:eastAsia="Times New Roman" w:hAnsi="Aptos" w:cs="Times New Roman"/>
          <w:b/>
          <w:bCs/>
          <w:color w:val="1F1F1F"/>
          <w:kern w:val="0"/>
          <w:lang w:eastAsia="en-GB"/>
          <w14:ligatures w14:val="none"/>
        </w:rPr>
        <w:t>Trading Volume:</w:t>
      </w:r>
      <w:r w:rsidRPr="006C243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> Analysis of trading volume reveals interesting patterns:</w:t>
      </w:r>
    </w:p>
    <w:p w14:paraId="121504D2" w14:textId="77777777" w:rsidR="00AD4BE4" w:rsidRPr="008114B3" w:rsidRDefault="00AD4BE4" w:rsidP="006C2433">
      <w:pPr>
        <w:pStyle w:val="ListParagraph"/>
        <w:numPr>
          <w:ilvl w:val="0"/>
          <w:numId w:val="22"/>
        </w:numPr>
        <w:spacing w:before="100" w:beforeAutospacing="1" w:after="100" w:afterAutospacing="1"/>
        <w:ind w:left="1276" w:hanging="425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b/>
          <w:bCs/>
          <w:color w:val="1F1F1F"/>
          <w:kern w:val="0"/>
          <w:lang w:eastAsia="en-GB"/>
          <w14:ligatures w14:val="none"/>
        </w:rPr>
        <w:t>Volume by Year:</w:t>
      </w:r>
      <w:r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> We can see how the total volume of Apple stock traded changes year over year.</w:t>
      </w:r>
    </w:p>
    <w:p w14:paraId="6759255B" w14:textId="73237B1C" w:rsidR="00642A2C" w:rsidRDefault="00642A2C" w:rsidP="00642A2C">
      <w:pPr>
        <w:spacing w:before="100" w:beforeAutospacing="1" w:after="100" w:afterAutospacing="1"/>
        <w:ind w:left="144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noProof/>
          <w:color w:val="1F1F1F"/>
          <w:kern w:val="0"/>
          <w:lang w:eastAsia="en-GB"/>
        </w:rPr>
        <w:lastRenderedPageBreak/>
        <w:drawing>
          <wp:inline distT="0" distB="0" distL="0" distR="0" wp14:anchorId="3336E473" wp14:editId="3C38DFEB">
            <wp:extent cx="3939702" cy="2186783"/>
            <wp:effectExtent l="0" t="0" r="0" b="0"/>
            <wp:docPr id="503341933" name="Picture 2" descr="A graph showing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41933" name="Picture 2" descr="A graph showing a number of blue ba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394" cy="220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B527" w14:textId="10CCAD70" w:rsidR="006C2433" w:rsidRPr="006C2433" w:rsidRDefault="006C2433" w:rsidP="006C2433">
      <w:pPr>
        <w:spacing w:before="100" w:beforeAutospacing="1" w:after="100" w:afterAutospacing="1"/>
        <w:ind w:left="1134"/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</w:pP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Fig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u</w:t>
      </w: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re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 xml:space="preserve"> 5</w:t>
      </w: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 xml:space="preserve">. 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Total trading volume by year</w:t>
      </w:r>
    </w:p>
    <w:p w14:paraId="57CD6368" w14:textId="77777777" w:rsidR="008114B3" w:rsidRPr="008114B3" w:rsidRDefault="008114B3" w:rsidP="008114B3">
      <w:pPr>
        <w:pStyle w:val="ListParagraph"/>
        <w:numPr>
          <w:ilvl w:val="1"/>
          <w:numId w:val="22"/>
        </w:num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kern w:val="0"/>
          <w:lang w:eastAsia="en-GB"/>
          <w14:ligatures w14:val="none"/>
        </w:rPr>
        <w:t>Observations</w:t>
      </w:r>
      <w:r w:rsidRPr="008114B3">
        <w:rPr>
          <w:rFonts w:ascii="Aptos" w:eastAsia="Times New Roman" w:hAnsi="Aptos" w:cs="Times New Roman"/>
          <w:b/>
          <w:bCs/>
          <w:kern w:val="0"/>
          <w:lang w:eastAsia="en-GB"/>
          <w14:ligatures w14:val="none"/>
        </w:rPr>
        <w:t>:</w:t>
      </w:r>
    </w:p>
    <w:p w14:paraId="1A1EA0B2" w14:textId="4D0F1CB6" w:rsidR="008114B3" w:rsidRPr="008114B3" w:rsidRDefault="008114B3" w:rsidP="008114B3">
      <w:pPr>
        <w:pStyle w:val="ListParagraph"/>
        <w:numPr>
          <w:ilvl w:val="2"/>
          <w:numId w:val="22"/>
        </w:num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kern w:val="0"/>
          <w:lang w:eastAsia="en-GB"/>
          <w14:ligatures w14:val="none"/>
        </w:rPr>
        <w:t>2020</w:t>
      </w:r>
      <w:r w:rsidRPr="008114B3">
        <w:rPr>
          <w:rFonts w:ascii="Aptos" w:eastAsia="Times New Roman" w:hAnsi="Aptos" w:cs="Times New Roman"/>
          <w:b/>
          <w:bCs/>
          <w:kern w:val="0"/>
          <w:lang w:eastAsia="en-GB"/>
          <w14:ligatures w14:val="none"/>
        </w:rPr>
        <w:t>:</w:t>
      </w:r>
      <w:r w:rsidRPr="008114B3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 Significantly higher trading volume, reaching approximately 40 billion. This suggests heightened market activity, likely due to: </w:t>
      </w:r>
    </w:p>
    <w:p w14:paraId="4F48E046" w14:textId="39D0CB93" w:rsidR="008114B3" w:rsidRPr="008114B3" w:rsidRDefault="008114B3" w:rsidP="008114B3">
      <w:pPr>
        <w:pStyle w:val="ListParagraph"/>
        <w:numPr>
          <w:ilvl w:val="3"/>
          <w:numId w:val="22"/>
        </w:num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kern w:val="0"/>
          <w:lang w:eastAsia="en-GB"/>
          <w14:ligatures w14:val="none"/>
        </w:rPr>
        <w:t>The COVID-19 pandemic-driven market volatility.</w:t>
      </w:r>
    </w:p>
    <w:p w14:paraId="1BD53894" w14:textId="77777777" w:rsidR="008114B3" w:rsidRPr="008114B3" w:rsidRDefault="008114B3" w:rsidP="008114B3">
      <w:pPr>
        <w:pStyle w:val="ListParagraph"/>
        <w:numPr>
          <w:ilvl w:val="3"/>
          <w:numId w:val="22"/>
        </w:num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kern w:val="0"/>
          <w:lang w:eastAsia="en-GB"/>
          <w14:ligatures w14:val="none"/>
        </w:rPr>
        <w:t>Increased investor attention on tech stocks during lockdown periods.</w:t>
      </w:r>
    </w:p>
    <w:p w14:paraId="43EA6C17" w14:textId="77777777" w:rsidR="008114B3" w:rsidRPr="008114B3" w:rsidRDefault="008114B3" w:rsidP="008114B3">
      <w:pPr>
        <w:pStyle w:val="ListParagraph"/>
        <w:numPr>
          <w:ilvl w:val="2"/>
          <w:numId w:val="22"/>
        </w:num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kern w:val="0"/>
          <w:lang w:eastAsia="en-GB"/>
          <w14:ligatures w14:val="none"/>
        </w:rPr>
        <w:t>2021-2024</w:t>
      </w:r>
      <w:r w:rsidRPr="008114B3">
        <w:rPr>
          <w:rFonts w:ascii="Aptos" w:eastAsia="Times New Roman" w:hAnsi="Aptos" w:cs="Times New Roman"/>
          <w:b/>
          <w:bCs/>
          <w:kern w:val="0"/>
          <w:lang w:eastAsia="en-GB"/>
          <w14:ligatures w14:val="none"/>
        </w:rPr>
        <w:t>:</w:t>
      </w:r>
      <w:r w:rsidRPr="008114B3">
        <w:rPr>
          <w:rFonts w:ascii="Aptos" w:eastAsia="Times New Roman" w:hAnsi="Aptos" w:cs="Times New Roman"/>
          <w:kern w:val="0"/>
          <w:lang w:eastAsia="en-GB"/>
          <w14:ligatures w14:val="none"/>
        </w:rPr>
        <w:t> Trading volume shows a consistent downward trend, suggesting:</w:t>
      </w:r>
    </w:p>
    <w:p w14:paraId="3B242876" w14:textId="77777777" w:rsidR="008114B3" w:rsidRPr="008114B3" w:rsidRDefault="008114B3" w:rsidP="008114B3">
      <w:pPr>
        <w:pStyle w:val="ListParagraph"/>
        <w:numPr>
          <w:ilvl w:val="3"/>
          <w:numId w:val="22"/>
        </w:num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kern w:val="0"/>
          <w:lang w:eastAsia="en-GB"/>
          <w14:ligatures w14:val="none"/>
        </w:rPr>
        <w:t>Stabilization in market activity.</w:t>
      </w:r>
    </w:p>
    <w:p w14:paraId="0360C0FB" w14:textId="06F11D2E" w:rsidR="008114B3" w:rsidRDefault="008114B3" w:rsidP="006C2433">
      <w:pPr>
        <w:pStyle w:val="ListParagraph"/>
        <w:numPr>
          <w:ilvl w:val="3"/>
          <w:numId w:val="22"/>
        </w:num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kern w:val="0"/>
          <w:lang w:eastAsia="en-GB"/>
          <w14:ligatures w14:val="none"/>
        </w:rPr>
        <w:t>Reduced trading activity relative to the 2020 peak.</w:t>
      </w:r>
    </w:p>
    <w:p w14:paraId="73865414" w14:textId="77777777" w:rsidR="006C2433" w:rsidRPr="006C2433" w:rsidRDefault="006C2433" w:rsidP="006C2433">
      <w:pPr>
        <w:pStyle w:val="ListParagraph"/>
        <w:ind w:left="3240"/>
        <w:rPr>
          <w:rFonts w:ascii="Aptos" w:eastAsia="Times New Roman" w:hAnsi="Aptos" w:cs="Times New Roman"/>
          <w:kern w:val="0"/>
          <w:lang w:eastAsia="en-GB"/>
          <w14:ligatures w14:val="none"/>
        </w:rPr>
      </w:pPr>
    </w:p>
    <w:p w14:paraId="35D537A5" w14:textId="3A15EFCF" w:rsidR="00642A2C" w:rsidRDefault="00AD4BE4" w:rsidP="006C2433">
      <w:pPr>
        <w:pStyle w:val="ListParagraph"/>
        <w:numPr>
          <w:ilvl w:val="0"/>
          <w:numId w:val="25"/>
        </w:numPr>
        <w:spacing w:before="100" w:beforeAutospacing="1" w:after="100" w:afterAutospacing="1"/>
        <w:ind w:left="1276" w:hanging="425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b/>
          <w:bCs/>
          <w:color w:val="1F1F1F"/>
          <w:kern w:val="0"/>
          <w:lang w:eastAsia="en-GB"/>
          <w14:ligatures w14:val="none"/>
        </w:rPr>
        <w:t>Volume Over Time:</w:t>
      </w:r>
      <w:r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> The plot shows periods of high and low trading activity, possibly corresponding to significant events or news.</w:t>
      </w:r>
      <w:r w:rsidR="00642A2C" w:rsidRPr="008114B3">
        <w:rPr>
          <w:rFonts w:ascii="Aptos" w:hAnsi="Aptos"/>
          <w:noProof/>
          <w:lang w:eastAsia="en-GB"/>
        </w:rPr>
        <w:drawing>
          <wp:inline distT="0" distB="0" distL="0" distR="0" wp14:anchorId="015C6520" wp14:editId="7C3B9031">
            <wp:extent cx="4251905" cy="2334638"/>
            <wp:effectExtent l="0" t="0" r="3175" b="2540"/>
            <wp:docPr id="427697092" name="Picture 1" descr="A graph showing a number of tra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97092" name="Picture 1" descr="A graph showing a number of trad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552" cy="234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72F3" w14:textId="518B0E1D" w:rsidR="006C2433" w:rsidRPr="006C2433" w:rsidRDefault="006C2433" w:rsidP="006C2433">
      <w:pPr>
        <w:spacing w:before="100" w:beforeAutospacing="1" w:after="100" w:afterAutospacing="1"/>
        <w:ind w:firstLine="1276"/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</w:pP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Figure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 xml:space="preserve"> 6</w:t>
      </w: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 xml:space="preserve">. 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Trading volume over time</w:t>
      </w:r>
    </w:p>
    <w:p w14:paraId="1B05DBD0" w14:textId="172DD0C3" w:rsidR="008114B3" w:rsidRPr="008114B3" w:rsidRDefault="008114B3" w:rsidP="008114B3">
      <w:pPr>
        <w:pStyle w:val="ListParagraph"/>
        <w:numPr>
          <w:ilvl w:val="0"/>
          <w:numId w:val="23"/>
        </w:num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kern w:val="0"/>
          <w:lang w:eastAsia="en-GB"/>
          <w14:ligatures w14:val="none"/>
        </w:rPr>
        <w:t>Observations</w:t>
      </w:r>
      <w:r w:rsidRPr="008114B3">
        <w:rPr>
          <w:rFonts w:ascii="Aptos" w:eastAsia="Times New Roman" w:hAnsi="Aptos" w:cs="Times New Roman"/>
          <w:b/>
          <w:bCs/>
          <w:kern w:val="0"/>
          <w:lang w:eastAsia="en-GB"/>
          <w14:ligatures w14:val="none"/>
        </w:rPr>
        <w:t>:</w:t>
      </w:r>
    </w:p>
    <w:p w14:paraId="4ACE77EE" w14:textId="77777777" w:rsidR="008114B3" w:rsidRPr="008114B3" w:rsidRDefault="008114B3" w:rsidP="008114B3">
      <w:pPr>
        <w:numPr>
          <w:ilvl w:val="1"/>
          <w:numId w:val="23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kern w:val="0"/>
          <w:lang w:eastAsia="en-GB"/>
          <w14:ligatures w14:val="none"/>
        </w:rPr>
        <w:t>Trading volume spiked significantly in early 2020 but gradually declined thereafter.</w:t>
      </w:r>
    </w:p>
    <w:p w14:paraId="49DA887B" w14:textId="05EE7FF6" w:rsidR="008114B3" w:rsidRPr="008114B3" w:rsidRDefault="008114B3" w:rsidP="008114B3">
      <w:pPr>
        <w:numPr>
          <w:ilvl w:val="1"/>
          <w:numId w:val="23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kern w:val="0"/>
          <w:lang w:eastAsia="en-GB"/>
          <w14:ligatures w14:val="none"/>
        </w:rPr>
        <w:lastRenderedPageBreak/>
        <w:t>Isolated spikes post-2024 reflect occasional high-activity days, potentially due to major market events.</w:t>
      </w:r>
    </w:p>
    <w:p w14:paraId="7BF8DCEA" w14:textId="6AF9576A" w:rsidR="00642A2C" w:rsidRPr="008114B3" w:rsidRDefault="00AD4BE4" w:rsidP="006C2433">
      <w:pPr>
        <w:numPr>
          <w:ilvl w:val="1"/>
          <w:numId w:val="20"/>
        </w:numPr>
        <w:spacing w:before="100" w:beforeAutospacing="1" w:after="100" w:afterAutospacing="1"/>
        <w:ind w:left="1276" w:hanging="425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b/>
          <w:bCs/>
          <w:color w:val="1F1F1F"/>
          <w:kern w:val="0"/>
          <w:lang w:eastAsia="en-GB"/>
          <w14:ligatures w14:val="none"/>
        </w:rPr>
        <w:t>Volume Outliers:</w:t>
      </w:r>
      <w:r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> We identify and highlight days with unusually high trading volume</w:t>
      </w:r>
      <w:r w:rsidR="00642A2C"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>.</w:t>
      </w:r>
    </w:p>
    <w:p w14:paraId="2220B60B" w14:textId="09B19048" w:rsidR="00642A2C" w:rsidRDefault="00642A2C" w:rsidP="00642A2C">
      <w:pPr>
        <w:spacing w:before="100" w:beforeAutospacing="1" w:after="100" w:afterAutospacing="1"/>
        <w:ind w:left="144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noProof/>
          <w:color w:val="1F1F1F"/>
          <w:kern w:val="0"/>
          <w:lang w:eastAsia="en-GB"/>
        </w:rPr>
        <w:drawing>
          <wp:inline distT="0" distB="0" distL="0" distR="0" wp14:anchorId="27DD17D7" wp14:editId="3BD8DD60">
            <wp:extent cx="4740266" cy="2587557"/>
            <wp:effectExtent l="0" t="0" r="0" b="3810"/>
            <wp:docPr id="673215660" name="Picture 3" descr="A graph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15660" name="Picture 3" descr="A graph with orange dot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401" cy="261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7900" w14:textId="2FA46DB4" w:rsidR="006C2433" w:rsidRPr="006C2433" w:rsidRDefault="006C2433" w:rsidP="006C2433">
      <w:pPr>
        <w:spacing w:before="100" w:beforeAutospacing="1" w:after="100" w:afterAutospacing="1"/>
        <w:ind w:left="1134"/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</w:pP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Fig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u</w:t>
      </w: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re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 xml:space="preserve"> 7</w:t>
      </w: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 xml:space="preserve">. 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Volume outliers</w:t>
      </w:r>
    </w:p>
    <w:p w14:paraId="38F64F17" w14:textId="2D93EC3E" w:rsidR="008114B3" w:rsidRDefault="00642A2C" w:rsidP="006C2433">
      <w:pPr>
        <w:spacing w:before="100" w:beforeAutospacing="1" w:after="100" w:afterAutospacing="1"/>
        <w:ind w:left="414" w:firstLine="72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noProof/>
          <w:color w:val="1F1F1F"/>
          <w:kern w:val="0"/>
          <w:lang w:eastAsia="en-GB"/>
        </w:rPr>
        <w:drawing>
          <wp:inline distT="0" distB="0" distL="0" distR="0" wp14:anchorId="1A505E20" wp14:editId="315E5C86">
            <wp:extent cx="4096949" cy="2256817"/>
            <wp:effectExtent l="0" t="0" r="5715" b="3810"/>
            <wp:docPr id="429480139" name="Picture 5" descr="A graph with blue lines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80139" name="Picture 5" descr="A graph with blue lines and red dot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638" cy="226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7A50" w14:textId="28ED0672" w:rsidR="006C2433" w:rsidRPr="006C2433" w:rsidRDefault="006C2433" w:rsidP="006C2433">
      <w:pPr>
        <w:spacing w:before="100" w:beforeAutospacing="1" w:after="100" w:afterAutospacing="1"/>
        <w:ind w:left="1134"/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</w:pP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Fig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u</w:t>
      </w: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re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 xml:space="preserve"> 8</w:t>
      </w: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 xml:space="preserve">. 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Volume outliers with dates</w:t>
      </w:r>
    </w:p>
    <w:p w14:paraId="7E9BD76F" w14:textId="563290F6" w:rsidR="008114B3" w:rsidRPr="008114B3" w:rsidRDefault="008114B3" w:rsidP="006C2433">
      <w:pPr>
        <w:pStyle w:val="NoSpacing"/>
        <w:numPr>
          <w:ilvl w:val="0"/>
          <w:numId w:val="35"/>
        </w:numPr>
        <w:ind w:left="1418" w:hanging="284"/>
        <w:rPr>
          <w:rFonts w:ascii="Aptos" w:hAnsi="Aptos"/>
          <w:lang w:eastAsia="en-GB"/>
        </w:rPr>
      </w:pPr>
      <w:r w:rsidRPr="008114B3">
        <w:rPr>
          <w:rFonts w:ascii="Aptos" w:hAnsi="Aptos"/>
          <w:lang w:eastAsia="en-GB"/>
        </w:rPr>
        <w:t>Observations:</w:t>
      </w:r>
    </w:p>
    <w:p w14:paraId="5C469F1B" w14:textId="6CC28CAE" w:rsidR="008114B3" w:rsidRPr="008114B3" w:rsidRDefault="008114B3" w:rsidP="008114B3">
      <w:pPr>
        <w:pStyle w:val="NoSpacing"/>
        <w:numPr>
          <w:ilvl w:val="2"/>
          <w:numId w:val="20"/>
        </w:numPr>
        <w:rPr>
          <w:rFonts w:ascii="Aptos" w:hAnsi="Aptos"/>
          <w:lang w:eastAsia="en-GB"/>
        </w:rPr>
      </w:pPr>
      <w:r w:rsidRPr="008114B3">
        <w:rPr>
          <w:rFonts w:ascii="Aptos" w:hAnsi="Aptos"/>
          <w:lang w:eastAsia="en-GB"/>
        </w:rPr>
        <w:t>Red dots represent high-volume outliers, primarily clustered in early 2020.</w:t>
      </w:r>
    </w:p>
    <w:p w14:paraId="186F87B5" w14:textId="1EEC16E0" w:rsidR="008114B3" w:rsidRPr="008114B3" w:rsidRDefault="008114B3" w:rsidP="008114B3">
      <w:pPr>
        <w:pStyle w:val="NoSpacing"/>
        <w:numPr>
          <w:ilvl w:val="2"/>
          <w:numId w:val="20"/>
        </w:numPr>
        <w:rPr>
          <w:rFonts w:ascii="Aptos" w:hAnsi="Aptos"/>
          <w:lang w:eastAsia="en-GB"/>
        </w:rPr>
      </w:pPr>
      <w:r w:rsidRPr="008114B3">
        <w:rPr>
          <w:rFonts w:ascii="Aptos" w:hAnsi="Aptos"/>
          <w:lang w:eastAsia="en-GB"/>
        </w:rPr>
        <w:t>Early 2020: Multiple spikes above 300 million in volume highlight extraordinary events.</w:t>
      </w:r>
    </w:p>
    <w:p w14:paraId="58C4C455" w14:textId="3428DD24" w:rsidR="008114B3" w:rsidRPr="008114B3" w:rsidRDefault="008114B3" w:rsidP="008114B3">
      <w:pPr>
        <w:pStyle w:val="NoSpacing"/>
        <w:numPr>
          <w:ilvl w:val="2"/>
          <w:numId w:val="20"/>
        </w:numPr>
        <w:rPr>
          <w:rFonts w:ascii="Aptos" w:hAnsi="Aptos"/>
          <w:lang w:eastAsia="en-GB"/>
        </w:rPr>
      </w:pPr>
      <w:r w:rsidRPr="008114B3">
        <w:rPr>
          <w:rFonts w:ascii="Aptos" w:hAnsi="Aptos"/>
          <w:lang w:eastAsia="en-GB"/>
        </w:rPr>
        <w:t xml:space="preserve">After 2020, outliers become less frequent, suggesting that abnormal trading activity subsided. </w:t>
      </w:r>
    </w:p>
    <w:p w14:paraId="2296621E" w14:textId="77777777" w:rsidR="008114B3" w:rsidRDefault="008114B3" w:rsidP="006C2433">
      <w:pPr>
        <w:pStyle w:val="NoSpacing"/>
        <w:numPr>
          <w:ilvl w:val="2"/>
          <w:numId w:val="20"/>
        </w:numPr>
        <w:rPr>
          <w:rFonts w:ascii="Aptos" w:hAnsi="Aptos"/>
          <w:lang w:eastAsia="en-GB"/>
        </w:rPr>
      </w:pPr>
      <w:r w:rsidRPr="008114B3">
        <w:rPr>
          <w:rFonts w:ascii="Aptos" w:hAnsi="Aptos"/>
          <w:lang w:eastAsia="en-GB"/>
        </w:rPr>
        <w:t>Late 2024: Isolated outliers suggest a resurgence in market activity, possibly due to external factors like news, earnings reports, or economic events.</w:t>
      </w:r>
    </w:p>
    <w:p w14:paraId="79B6753D" w14:textId="77777777" w:rsidR="006C2433" w:rsidRPr="008114B3" w:rsidRDefault="006C2433" w:rsidP="006C2433">
      <w:pPr>
        <w:pStyle w:val="NoSpacing"/>
        <w:ind w:left="2160"/>
        <w:rPr>
          <w:rFonts w:ascii="Aptos" w:hAnsi="Aptos"/>
          <w:lang w:eastAsia="en-GB"/>
        </w:rPr>
      </w:pPr>
    </w:p>
    <w:p w14:paraId="0B8256AE" w14:textId="77777777" w:rsidR="008114B3" w:rsidRPr="008114B3" w:rsidRDefault="008114B3" w:rsidP="008114B3">
      <w:pPr>
        <w:pStyle w:val="NoSpacing"/>
        <w:ind w:left="1418" w:hanging="284"/>
        <w:rPr>
          <w:rFonts w:ascii="Aptos" w:hAnsi="Aptos"/>
          <w:lang w:eastAsia="en-GB"/>
        </w:rPr>
      </w:pPr>
    </w:p>
    <w:p w14:paraId="58A3B41B" w14:textId="77777777" w:rsidR="00AD4BE4" w:rsidRPr="008114B3" w:rsidRDefault="00AD4BE4" w:rsidP="006C2433">
      <w:pPr>
        <w:pStyle w:val="NoSpacing"/>
        <w:numPr>
          <w:ilvl w:val="0"/>
          <w:numId w:val="35"/>
        </w:numPr>
        <w:ind w:left="709" w:hanging="283"/>
        <w:rPr>
          <w:rFonts w:ascii="Aptos" w:hAnsi="Aptos"/>
          <w:color w:val="1F1F1F"/>
          <w:lang w:eastAsia="en-GB"/>
        </w:rPr>
      </w:pPr>
      <w:r w:rsidRPr="006C2433">
        <w:rPr>
          <w:rFonts w:ascii="Aptos" w:hAnsi="Aptos"/>
          <w:b/>
          <w:bCs/>
          <w:color w:val="1F1F1F"/>
          <w:lang w:eastAsia="en-GB"/>
        </w:rPr>
        <w:t>Average Closing Price</w:t>
      </w:r>
      <w:r w:rsidRPr="008114B3">
        <w:rPr>
          <w:rFonts w:ascii="Aptos" w:hAnsi="Aptos"/>
          <w:color w:val="1F1F1F"/>
          <w:lang w:eastAsia="en-GB"/>
        </w:rPr>
        <w:t>: This analysis shows:</w:t>
      </w:r>
    </w:p>
    <w:p w14:paraId="1B414EAC" w14:textId="77777777" w:rsidR="00AD4BE4" w:rsidRPr="008114B3" w:rsidRDefault="00AD4BE4" w:rsidP="006C2433">
      <w:pPr>
        <w:pStyle w:val="NoSpacing"/>
        <w:numPr>
          <w:ilvl w:val="0"/>
          <w:numId w:val="35"/>
        </w:numPr>
        <w:ind w:left="1276" w:hanging="425"/>
        <w:rPr>
          <w:rFonts w:ascii="Aptos" w:hAnsi="Aptos"/>
          <w:color w:val="1F1F1F"/>
          <w:lang w:eastAsia="en-GB"/>
        </w:rPr>
      </w:pPr>
      <w:r w:rsidRPr="006C2433">
        <w:rPr>
          <w:rFonts w:ascii="Aptos" w:hAnsi="Aptos"/>
          <w:b/>
          <w:bCs/>
          <w:color w:val="1F1F1F"/>
          <w:lang w:eastAsia="en-GB"/>
        </w:rPr>
        <w:t>Average by Year</w:t>
      </w:r>
      <w:r w:rsidRPr="008114B3">
        <w:rPr>
          <w:rFonts w:ascii="Aptos" w:hAnsi="Aptos"/>
          <w:color w:val="1F1F1F"/>
          <w:lang w:eastAsia="en-GB"/>
        </w:rPr>
        <w:t>: How the average closing price of Apple stock has trended over the years.</w:t>
      </w:r>
    </w:p>
    <w:p w14:paraId="51F8FCC3" w14:textId="6E9BFD3A" w:rsidR="00642A2C" w:rsidRDefault="00642A2C" w:rsidP="00642A2C">
      <w:pPr>
        <w:spacing w:before="100" w:beforeAutospacing="1" w:after="100" w:afterAutospacing="1"/>
        <w:ind w:left="144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noProof/>
          <w:color w:val="1F1F1F"/>
          <w:kern w:val="0"/>
          <w:lang w:eastAsia="en-GB"/>
        </w:rPr>
        <w:drawing>
          <wp:inline distT="0" distB="0" distL="0" distR="0" wp14:anchorId="714E9CE4" wp14:editId="72E19A51">
            <wp:extent cx="4046706" cy="2234969"/>
            <wp:effectExtent l="0" t="0" r="5080" b="635"/>
            <wp:docPr id="11656356" name="Picture 4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356" name="Picture 4" descr="A graph with a line going up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966" cy="224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6EB4" w14:textId="6533A72D" w:rsidR="00642A2C" w:rsidRPr="006C2433" w:rsidRDefault="006C2433" w:rsidP="006C2433">
      <w:pPr>
        <w:spacing w:before="100" w:beforeAutospacing="1" w:after="100" w:afterAutospacing="1"/>
        <w:ind w:left="1134"/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</w:pP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Fig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u</w:t>
      </w: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re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 xml:space="preserve"> 9</w:t>
      </w: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 xml:space="preserve">. 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Average closing price by year</w:t>
      </w:r>
    </w:p>
    <w:p w14:paraId="4EA64D38" w14:textId="77777777" w:rsidR="006C2433" w:rsidRPr="006C2433" w:rsidRDefault="008114B3" w:rsidP="006C2433">
      <w:pPr>
        <w:pStyle w:val="ListParagraph"/>
        <w:numPr>
          <w:ilvl w:val="0"/>
          <w:numId w:val="38"/>
        </w:numPr>
        <w:spacing w:before="100" w:beforeAutospacing="1" w:after="100" w:afterAutospacing="1"/>
        <w:ind w:left="1418" w:hanging="284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6C2433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Observation</w:t>
      </w:r>
    </w:p>
    <w:p w14:paraId="66803134" w14:textId="528ACD1E" w:rsidR="006C2433" w:rsidRDefault="008114B3" w:rsidP="006C2433">
      <w:pPr>
        <w:pStyle w:val="ListParagraph"/>
        <w:numPr>
          <w:ilvl w:val="2"/>
          <w:numId w:val="38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6C2433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The average closing price showed consistent growth</w:t>
      </w:r>
      <w:r w:rsidR="006C2433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 every year</w:t>
      </w:r>
    </w:p>
    <w:p w14:paraId="1C2D3E2D" w14:textId="7941A5BD" w:rsidR="008114B3" w:rsidRPr="006C2433" w:rsidRDefault="008114B3" w:rsidP="006C2433">
      <w:pPr>
        <w:pStyle w:val="ListParagraph"/>
        <w:numPr>
          <w:ilvl w:val="2"/>
          <w:numId w:val="38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6C2433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Despite declining trading volumes, the steady price increase underscores strong investor demand and confidence in Apple’s performance.</w:t>
      </w:r>
    </w:p>
    <w:p w14:paraId="52E40A8A" w14:textId="77777777" w:rsidR="008114B3" w:rsidRPr="008114B3" w:rsidRDefault="008114B3" w:rsidP="00642A2C">
      <w:pPr>
        <w:spacing w:before="100" w:beforeAutospacing="1" w:after="100" w:afterAutospacing="1"/>
        <w:ind w:left="144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</w:p>
    <w:p w14:paraId="52E3ED51" w14:textId="743AB32E" w:rsidR="008114B3" w:rsidRPr="008114B3" w:rsidRDefault="00AD4BE4" w:rsidP="008114B3">
      <w:pPr>
        <w:numPr>
          <w:ilvl w:val="0"/>
          <w:numId w:val="20"/>
        </w:numPr>
        <w:spacing w:before="120" w:after="9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b/>
          <w:bCs/>
          <w:color w:val="1F1F1F"/>
          <w:kern w:val="0"/>
          <w:lang w:eastAsia="en-GB"/>
          <w14:ligatures w14:val="none"/>
        </w:rPr>
        <w:t>Correlation Analysis:</w:t>
      </w:r>
      <w:r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> This step examines the relationship between trading volume and cl</w:t>
      </w:r>
      <w:r w:rsidR="008114B3" w:rsidRPr="008114B3"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  <w:t>osing price</w:t>
      </w:r>
    </w:p>
    <w:p w14:paraId="5211C0FB" w14:textId="77777777" w:rsidR="006C2433" w:rsidRDefault="00642A2C" w:rsidP="006C2433">
      <w:pPr>
        <w:spacing w:before="120" w:after="90"/>
        <w:ind w:left="720"/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</w:pPr>
      <w:r w:rsidRPr="008114B3">
        <w:rPr>
          <w:rFonts w:ascii="Aptos" w:eastAsia="Times New Roman" w:hAnsi="Aptos" w:cs="Times New Roman"/>
          <w:noProof/>
          <w:color w:val="1F1F1F"/>
          <w:kern w:val="0"/>
          <w:lang w:eastAsia="en-GB"/>
        </w:rPr>
        <w:drawing>
          <wp:inline distT="0" distB="0" distL="0" distR="0" wp14:anchorId="6C565682" wp14:editId="789FB15C">
            <wp:extent cx="3823969" cy="2159540"/>
            <wp:effectExtent l="0" t="0" r="0" b="0"/>
            <wp:docPr id="1383454850" name="Picture 6" descr="A diagram of a scatter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54850" name="Picture 6" descr="A diagram of a scatter plo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528" cy="218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FC40" w14:textId="467D1EAD" w:rsidR="006C2433" w:rsidRPr="006C2433" w:rsidRDefault="006C2433" w:rsidP="006C2433">
      <w:pPr>
        <w:spacing w:before="120" w:after="90"/>
        <w:ind w:left="720"/>
        <w:rPr>
          <w:rFonts w:ascii="Aptos" w:eastAsia="Times New Roman" w:hAnsi="Aptos" w:cs="Times New Roman"/>
          <w:color w:val="1F1F1F"/>
          <w:kern w:val="0"/>
          <w:lang w:eastAsia="en-GB"/>
          <w14:ligatures w14:val="none"/>
        </w:rPr>
      </w:pP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Fig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u</w:t>
      </w: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re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 xml:space="preserve"> </w:t>
      </w: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1</w:t>
      </w:r>
      <w:r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0</w:t>
      </w:r>
      <w:r w:rsidRPr="006C2433">
        <w:rPr>
          <w:rFonts w:ascii="Aptos" w:eastAsia="Times New Roman" w:hAnsi="Aptos" w:cs="Times New Roman"/>
          <w:i/>
          <w:iCs/>
          <w:color w:val="1F1F1F"/>
          <w:kern w:val="0"/>
          <w:lang w:eastAsia="en-GB"/>
          <w14:ligatures w14:val="none"/>
        </w:rPr>
        <w:t>. Dataset in pandas DataFrame</w:t>
      </w:r>
    </w:p>
    <w:p w14:paraId="08093356" w14:textId="77777777" w:rsidR="00AD4BE4" w:rsidRPr="008114B3" w:rsidRDefault="00AD4BE4">
      <w:pPr>
        <w:rPr>
          <w:rFonts w:ascii="Aptos" w:hAnsi="Aptos"/>
        </w:rPr>
      </w:pPr>
    </w:p>
    <w:p w14:paraId="2AADC8A7" w14:textId="77777777" w:rsidR="008114B3" w:rsidRPr="008114B3" w:rsidRDefault="008114B3">
      <w:pPr>
        <w:rPr>
          <w:rFonts w:ascii="Aptos" w:hAnsi="Aptos"/>
        </w:rPr>
      </w:pPr>
    </w:p>
    <w:sectPr w:rsidR="008114B3" w:rsidRPr="008114B3" w:rsidSect="006C2433">
      <w:pgSz w:w="11906" w:h="16838"/>
      <w:pgMar w:top="96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E4804"/>
    <w:multiLevelType w:val="multilevel"/>
    <w:tmpl w:val="0E4AAAB4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44A0D"/>
    <w:multiLevelType w:val="multilevel"/>
    <w:tmpl w:val="4F3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D13CA"/>
    <w:multiLevelType w:val="multilevel"/>
    <w:tmpl w:val="7C90FF1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B6DBD"/>
    <w:multiLevelType w:val="multilevel"/>
    <w:tmpl w:val="5318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7099E"/>
    <w:multiLevelType w:val="multilevel"/>
    <w:tmpl w:val="63D2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90DCA"/>
    <w:multiLevelType w:val="multilevel"/>
    <w:tmpl w:val="3C08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AB6F17"/>
    <w:multiLevelType w:val="multilevel"/>
    <w:tmpl w:val="1978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74833"/>
    <w:multiLevelType w:val="hybridMultilevel"/>
    <w:tmpl w:val="B9D80168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 w15:restartNumberingAfterBreak="0">
    <w:nsid w:val="1EE325FC"/>
    <w:multiLevelType w:val="multilevel"/>
    <w:tmpl w:val="E252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F53FD"/>
    <w:multiLevelType w:val="multilevel"/>
    <w:tmpl w:val="A086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10022"/>
    <w:multiLevelType w:val="multilevel"/>
    <w:tmpl w:val="7C90FF1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518A6"/>
    <w:multiLevelType w:val="hybridMultilevel"/>
    <w:tmpl w:val="86D4E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34F84"/>
    <w:multiLevelType w:val="multilevel"/>
    <w:tmpl w:val="8ACC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C3706"/>
    <w:multiLevelType w:val="multilevel"/>
    <w:tmpl w:val="7C90FF1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47794"/>
    <w:multiLevelType w:val="multilevel"/>
    <w:tmpl w:val="914EE2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26D3A"/>
    <w:multiLevelType w:val="multilevel"/>
    <w:tmpl w:val="1844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B2CBD"/>
    <w:multiLevelType w:val="multilevel"/>
    <w:tmpl w:val="C5668156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630183"/>
    <w:multiLevelType w:val="multilevel"/>
    <w:tmpl w:val="3CD2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54524"/>
    <w:multiLevelType w:val="multilevel"/>
    <w:tmpl w:val="8820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674CF2"/>
    <w:multiLevelType w:val="multilevel"/>
    <w:tmpl w:val="6A582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D0683A"/>
    <w:multiLevelType w:val="multilevel"/>
    <w:tmpl w:val="97AE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553E21"/>
    <w:multiLevelType w:val="multilevel"/>
    <w:tmpl w:val="90B8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AB4ED0"/>
    <w:multiLevelType w:val="multilevel"/>
    <w:tmpl w:val="901A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D92419"/>
    <w:multiLevelType w:val="multilevel"/>
    <w:tmpl w:val="3698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026214"/>
    <w:multiLevelType w:val="multilevel"/>
    <w:tmpl w:val="DEC8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1C3774"/>
    <w:multiLevelType w:val="hybridMultilevel"/>
    <w:tmpl w:val="B186C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983E11"/>
    <w:multiLevelType w:val="hybridMultilevel"/>
    <w:tmpl w:val="86168C6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55B256A3"/>
    <w:multiLevelType w:val="multilevel"/>
    <w:tmpl w:val="D7DE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66251"/>
    <w:multiLevelType w:val="multilevel"/>
    <w:tmpl w:val="FBB8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786822"/>
    <w:multiLevelType w:val="multilevel"/>
    <w:tmpl w:val="A7107C74"/>
    <w:lvl w:ilvl="0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450"/>
        </w:tabs>
        <w:ind w:left="94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170"/>
        </w:tabs>
        <w:ind w:left="101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890"/>
        </w:tabs>
        <w:ind w:left="108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610"/>
        </w:tabs>
        <w:ind w:left="1161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496DE5"/>
    <w:multiLevelType w:val="multilevel"/>
    <w:tmpl w:val="701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5C5FEB"/>
    <w:multiLevelType w:val="multilevel"/>
    <w:tmpl w:val="0910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C34BB6"/>
    <w:multiLevelType w:val="multilevel"/>
    <w:tmpl w:val="79DC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72473E"/>
    <w:multiLevelType w:val="hybridMultilevel"/>
    <w:tmpl w:val="99B05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770FA"/>
    <w:multiLevelType w:val="multilevel"/>
    <w:tmpl w:val="E764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8E0AE2"/>
    <w:multiLevelType w:val="multilevel"/>
    <w:tmpl w:val="5026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F86912"/>
    <w:multiLevelType w:val="multilevel"/>
    <w:tmpl w:val="4D20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ED053E"/>
    <w:multiLevelType w:val="multilevel"/>
    <w:tmpl w:val="88AA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708317">
    <w:abstractNumId w:val="23"/>
  </w:num>
  <w:num w:numId="2" w16cid:durableId="1047796480">
    <w:abstractNumId w:val="28"/>
  </w:num>
  <w:num w:numId="3" w16cid:durableId="566234293">
    <w:abstractNumId w:val="19"/>
  </w:num>
  <w:num w:numId="4" w16cid:durableId="259024513">
    <w:abstractNumId w:val="5"/>
  </w:num>
  <w:num w:numId="5" w16cid:durableId="1875655687">
    <w:abstractNumId w:val="24"/>
  </w:num>
  <w:num w:numId="6" w16cid:durableId="1951234012">
    <w:abstractNumId w:val="31"/>
  </w:num>
  <w:num w:numId="7" w16cid:durableId="625239034">
    <w:abstractNumId w:val="35"/>
  </w:num>
  <w:num w:numId="8" w16cid:durableId="210580393">
    <w:abstractNumId w:val="22"/>
  </w:num>
  <w:num w:numId="9" w16cid:durableId="331183052">
    <w:abstractNumId w:val="3"/>
  </w:num>
  <w:num w:numId="10" w16cid:durableId="936014392">
    <w:abstractNumId w:val="18"/>
  </w:num>
  <w:num w:numId="11" w16cid:durableId="1395661102">
    <w:abstractNumId w:val="4"/>
  </w:num>
  <w:num w:numId="12" w16cid:durableId="1203321220">
    <w:abstractNumId w:val="15"/>
  </w:num>
  <w:num w:numId="13" w16cid:durableId="1025134595">
    <w:abstractNumId w:val="17"/>
  </w:num>
  <w:num w:numId="14" w16cid:durableId="1981299280">
    <w:abstractNumId w:val="12"/>
  </w:num>
  <w:num w:numId="15" w16cid:durableId="936670386">
    <w:abstractNumId w:val="34"/>
  </w:num>
  <w:num w:numId="16" w16cid:durableId="2041204168">
    <w:abstractNumId w:val="9"/>
  </w:num>
  <w:num w:numId="17" w16cid:durableId="841361354">
    <w:abstractNumId w:val="21"/>
  </w:num>
  <w:num w:numId="18" w16cid:durableId="88161516">
    <w:abstractNumId w:val="32"/>
  </w:num>
  <w:num w:numId="19" w16cid:durableId="1294865298">
    <w:abstractNumId w:val="36"/>
  </w:num>
  <w:num w:numId="20" w16cid:durableId="1570117224">
    <w:abstractNumId w:val="1"/>
  </w:num>
  <w:num w:numId="21" w16cid:durableId="1352419807">
    <w:abstractNumId w:val="14"/>
  </w:num>
  <w:num w:numId="22" w16cid:durableId="1657566774">
    <w:abstractNumId w:val="25"/>
  </w:num>
  <w:num w:numId="23" w16cid:durableId="1857960942">
    <w:abstractNumId w:val="2"/>
  </w:num>
  <w:num w:numId="24" w16cid:durableId="1237009921">
    <w:abstractNumId w:val="26"/>
  </w:num>
  <w:num w:numId="25" w16cid:durableId="506024964">
    <w:abstractNumId w:val="29"/>
  </w:num>
  <w:num w:numId="26" w16cid:durableId="1434013109">
    <w:abstractNumId w:val="20"/>
  </w:num>
  <w:num w:numId="27" w16cid:durableId="1119228989">
    <w:abstractNumId w:val="30"/>
  </w:num>
  <w:num w:numId="28" w16cid:durableId="1234854456">
    <w:abstractNumId w:val="16"/>
  </w:num>
  <w:num w:numId="29" w16cid:durableId="827555697">
    <w:abstractNumId w:val="27"/>
  </w:num>
  <w:num w:numId="30" w16cid:durableId="1094981857">
    <w:abstractNumId w:val="37"/>
  </w:num>
  <w:num w:numId="31" w16cid:durableId="899024717">
    <w:abstractNumId w:val="6"/>
  </w:num>
  <w:num w:numId="32" w16cid:durableId="1290865967">
    <w:abstractNumId w:val="8"/>
  </w:num>
  <w:num w:numId="33" w16cid:durableId="318117120">
    <w:abstractNumId w:val="0"/>
  </w:num>
  <w:num w:numId="34" w16cid:durableId="936333036">
    <w:abstractNumId w:val="33"/>
  </w:num>
  <w:num w:numId="35" w16cid:durableId="345442628">
    <w:abstractNumId w:val="7"/>
  </w:num>
  <w:num w:numId="36" w16cid:durableId="1417167423">
    <w:abstractNumId w:val="13"/>
  </w:num>
  <w:num w:numId="37" w16cid:durableId="824249491">
    <w:abstractNumId w:val="10"/>
  </w:num>
  <w:num w:numId="38" w16cid:durableId="16380729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E8"/>
    <w:rsid w:val="004775EE"/>
    <w:rsid w:val="00642A2C"/>
    <w:rsid w:val="006C2433"/>
    <w:rsid w:val="00700A00"/>
    <w:rsid w:val="008114B3"/>
    <w:rsid w:val="008B362E"/>
    <w:rsid w:val="00944D17"/>
    <w:rsid w:val="009C6D3B"/>
    <w:rsid w:val="00AD4BE4"/>
    <w:rsid w:val="00B2628B"/>
    <w:rsid w:val="00B64A87"/>
    <w:rsid w:val="00B81BE8"/>
    <w:rsid w:val="00BD3120"/>
    <w:rsid w:val="00D2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08F6"/>
  <w15:chartTrackingRefBased/>
  <w15:docId w15:val="{17E15732-A4CE-BF4C-AFE0-EE22D76D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433"/>
  </w:style>
  <w:style w:type="paragraph" w:styleId="Heading1">
    <w:name w:val="heading 1"/>
    <w:basedOn w:val="Normal"/>
    <w:next w:val="Normal"/>
    <w:link w:val="Heading1Char"/>
    <w:uiPriority w:val="9"/>
    <w:qFormat/>
    <w:rsid w:val="00B81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B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B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B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B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1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1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B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B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B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B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1B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81BE8"/>
    <w:rPr>
      <w:b/>
      <w:bCs/>
    </w:rPr>
  </w:style>
  <w:style w:type="character" w:customStyle="1" w:styleId="apple-converted-space">
    <w:name w:val="apple-converted-space"/>
    <w:basedOn w:val="DefaultParagraphFont"/>
    <w:rsid w:val="00AD4BE4"/>
  </w:style>
  <w:style w:type="character" w:styleId="HTMLCode">
    <w:name w:val="HTML Code"/>
    <w:basedOn w:val="DefaultParagraphFont"/>
    <w:uiPriority w:val="99"/>
    <w:semiHidden/>
    <w:unhideWhenUsed/>
    <w:rsid w:val="00AD4B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11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5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5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5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kator kings</dc:creator>
  <cp:keywords/>
  <dc:description/>
  <cp:lastModifiedBy>kator kings</cp:lastModifiedBy>
  <cp:revision>5</cp:revision>
  <dcterms:created xsi:type="dcterms:W3CDTF">2024-12-11T18:35:00Z</dcterms:created>
  <dcterms:modified xsi:type="dcterms:W3CDTF">2024-12-16T09:20:00Z</dcterms:modified>
</cp:coreProperties>
</file>