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181F"/>
          <w:sz w:val="56"/>
          <w:szCs w:val="56"/>
        </w:rPr>
        <w:t xml:space="preserve">GariGhor Motors</w:t>
      </w:r>
    </w:p>
    <w:p>
      <w:pPr>
        <w:spacing w:after="40"/>
      </w:pPr>
      <w:r>
        <w:rPr>
          <w:b/>
          <w:bCs/>
          <w:color w:val="C98A3D"/>
          <w:sz w:val="30"/>
          <w:szCs w:val="30"/>
        </w:rPr>
        <w:t xml:space="preserve">Website Handover Guide</w:t>
      </w:r>
    </w:p>
    <w:p>
      <w:pPr>
        <w:spacing w:after="400"/>
      </w:pPr>
      <w:r>
        <w:rPr>
          <w:i/>
          <w:iCs/>
          <w:color w:val="5B6B66"/>
          <w:sz w:val="20"/>
          <w:szCs w:val="20"/>
        </w:rPr>
        <w:t xml:space="preserve">Prepared for the showroom owner — no technical background required to read this document.</w:t>
      </w:r>
    </w:p>
    <w:p>
      <w:pPr>
        <w:pStyle w:val="Heading1"/>
        <w:spacing w:after="160" w:before="320"/>
      </w:pPr>
      <w:r>
        <w:t xml:space="preserve">1. What you now own</w:t>
      </w:r>
    </w:p>
    <w:p>
      <w:pPr>
        <w:spacing w:after="160"/>
      </w:pPr>
      <w:r>
        <w:t xml:space="preserve">This document hands over the GariGhor Motors website: a public site where customers can browse your car inventory, save favourites, and send you enquiries or test-drive requests — plus a private “Dealer Console” where you (or your staff) add cars, manage those enquiries, and keep everything up to date. An AI chat assistant is built in to help customers browse and answer common questions using your live inventory.</w:t>
      </w:r>
    </w:p>
    <w:p>
      <w:pPr>
        <w:spacing w:after="160"/>
      </w:pPr>
      <w:r>
        <w:t xml:space="preserve">Everything below assumes the site has already been set up and deployed by your developer. This guide covers how to use it day to day, not how to install it.</w:t>
      </w:r>
    </w:p>
    <w:p>
      <w:pPr>
        <w:pStyle w:val="Heading1"/>
        <w:spacing w:after="160" w:before="320"/>
      </w:pPr>
      <w:r>
        <w:t xml:space="preserve">2. Your login details</w:t>
      </w:r>
    </w:p>
    <w:p>
      <w:pPr>
        <w:spacing w:after="160"/>
      </w:pPr>
      <w:r>
        <w:t xml:space="preserve">Fill this in once your developer has created your account, and keep it somewhere safe (a password manager, or a locked note) — not in an easily-guessed place.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3EFE6" w:val="clear"/>
          </w:tcPr>
          <w:p>
            <w:r>
              <w:rPr>
                <w:b/>
                <w:bCs/>
                <w:sz w:val="20"/>
                <w:szCs w:val="20"/>
              </w:rPr>
              <w:t xml:space="preserve">Website address</w:t>
            </w:r>
          </w:p>
        </w:tc>
        <w:tc>
          <w:tcPr>
            <w:tcW w:type="dxa" w:w="6000"/>
          </w:tcPr>
          <w:p>
            <w:r>
              <w:rPr>
                <w:sz w:val="20"/>
                <w:szCs w:val="20"/>
              </w:rPr>
              <w:t xml:space="preserve">________________________________</w:t>
            </w:r>
          </w:p>
        </w:tc>
      </w:tr>
      <w:tr>
        <w:tc>
          <w:tcPr>
            <w:tcW w:type="dxa" w:w="3000"/>
            <w:shd w:fill="F3EFE6" w:val="clear"/>
          </w:tcPr>
          <w:p>
            <w:r>
              <w:rPr>
                <w:b/>
                <w:bCs/>
                <w:sz w:val="20"/>
                <w:szCs w:val="20"/>
              </w:rPr>
              <w:t xml:space="preserve">Dealer login email</w:t>
            </w:r>
          </w:p>
        </w:tc>
        <w:tc>
          <w:tcPr>
            <w:tcW w:type="dxa" w:w="6000"/>
          </w:tcPr>
          <w:p>
            <w:r>
              <w:rPr>
                <w:sz w:val="20"/>
                <w:szCs w:val="20"/>
              </w:rPr>
              <w:t xml:space="preserve">________________________________</w:t>
            </w:r>
          </w:p>
        </w:tc>
      </w:tr>
      <w:tr>
        <w:tc>
          <w:tcPr>
            <w:tcW w:type="dxa" w:w="3000"/>
            <w:shd w:fill="F3EFE6" w:val="clear"/>
          </w:tcPr>
          <w:p>
            <w:r>
              <w:rPr>
                <w:b/>
                <w:bCs/>
                <w:sz w:val="20"/>
                <w:szCs w:val="20"/>
              </w:rPr>
              <w:t xml:space="preserve">Dealer login password</w:t>
            </w:r>
          </w:p>
        </w:tc>
        <w:tc>
          <w:tcPr>
            <w:tcW w:type="dxa" w:w="6000"/>
          </w:tcPr>
          <w:p>
            <w:r>
              <w:rPr>
                <w:sz w:val="20"/>
                <w:szCs w:val="20"/>
              </w:rPr>
              <w:t xml:space="preserve">________________________________</w:t>
            </w:r>
          </w:p>
        </w:tc>
      </w:tr>
    </w:tbl>
    <w:p>
      <w:pPr>
        <w:spacing w:after="200"/>
      </w:pPr>
    </w:p>
    <w:p>
      <w:pPr>
        <w:spacing w:after="160"/>
      </w:pPr>
      <w:r>
        <w:rPr>
          <w:i/>
          <w:iCs/>
          <w:sz w:val="20"/>
          <w:szCs w:val="20"/>
        </w:rPr>
        <w:t xml:space="preserve">To reach the Dealer Console: open the website, scroll to the very bottom, and click “Dealer login”. Log in with the details above. A “Dealer console” link will then appear at the top of every page for the rest of your visit.</w:t>
      </w:r>
    </w:p>
    <w:p>
      <w:pPr>
        <w:pStyle w:val="Heading1"/>
        <w:spacing w:after="160" w:before="320"/>
      </w:pPr>
      <w:r>
        <w:t xml:space="preserve">3. Adding a new car to your website</w:t>
      </w:r>
    </w:p>
    <w:p>
      <w:pPr>
        <w:pStyle w:val="ListParagraph"/>
        <w:numPr>
          <w:ilvl w:val="0"/>
          <w:numId w:val="2"/>
        </w:numPr>
        <w:spacing w:after="80"/>
      </w:pPr>
      <w:r>
        <w:t xml:space="preserve">Log in to the Dealer Console (see above).</w:t>
      </w:r>
    </w:p>
    <w:p>
      <w:pPr>
        <w:pStyle w:val="ListParagraph"/>
        <w:numPr>
          <w:ilvl w:val="0"/>
          <w:numId w:val="2"/>
        </w:numPr>
        <w:spacing w:after="80"/>
      </w:pPr>
      <w:r>
        <w:t xml:space="preserve">Click “Inventory” in the left-hand menu.</w:t>
      </w:r>
    </w:p>
    <w:p>
      <w:pPr>
        <w:pStyle w:val="ListParagraph"/>
        <w:numPr>
          <w:ilvl w:val="0"/>
          <w:numId w:val="2"/>
        </w:numPr>
        <w:spacing w:after="80"/>
      </w:pPr>
      <w:r>
        <w:t xml:space="preserve">Click the “Add new car” button near the top right.</w:t>
      </w:r>
    </w:p>
    <w:p>
      <w:pPr>
        <w:pStyle w:val="ListParagraph"/>
        <w:numPr>
          <w:ilvl w:val="0"/>
          <w:numId w:val="2"/>
        </w:numPr>
        <w:spacing w:after="80"/>
      </w:pPr>
      <w:r>
        <w:t xml:space="preserve">Fill in the car's details: brand, model, year, price, mileage, and so on.</w:t>
      </w:r>
    </w:p>
    <w:p>
      <w:pPr>
        <w:pStyle w:val="ListParagraph"/>
        <w:numPr>
          <w:ilvl w:val="0"/>
          <w:numId w:val="2"/>
        </w:numPr>
        <w:spacing w:after="80"/>
      </w:pPr>
      <w:r>
        <w:t xml:space="preserve">Under “Photo”, click to choose a photo from your phone or computer — it uploads automatically and shows a small preview once done.</w:t>
      </w:r>
    </w:p>
    <w:p>
      <w:pPr>
        <w:pStyle w:val="ListParagraph"/>
        <w:numPr>
          <w:ilvl w:val="0"/>
          <w:numId w:val="2"/>
        </w:numPr>
        <w:spacing w:after="80"/>
      </w:pPr>
      <w:r>
        <w:t xml:space="preserve">Write a short description and list a few key features, separated by commas (for example: Sunroof, Reverse Camera, Alloy Wheels).</w:t>
      </w:r>
    </w:p>
    <w:p>
      <w:pPr>
        <w:pStyle w:val="ListParagraph"/>
        <w:numPr>
          <w:ilvl w:val="0"/>
          <w:numId w:val="2"/>
        </w:numPr>
        <w:spacing w:after="80"/>
      </w:pPr>
      <w:r>
        <w:t xml:space="preserve">Tick “Feature this car on the homepage” if you'd like it shown on the homepage highlights.</w:t>
      </w:r>
    </w:p>
    <w:p>
      <w:pPr>
        <w:pStyle w:val="ListParagraph"/>
        <w:numPr>
          <w:ilvl w:val="0"/>
          <w:numId w:val="2"/>
        </w:numPr>
        <w:spacing w:after="80"/>
      </w:pPr>
      <w:r>
        <w:t xml:space="preserve">Click “Add to inventory”. The car appears on your live website immediately.</w:t>
      </w:r>
    </w:p>
    <w:p>
      <w:pPr>
        <w:spacing w:after="160"/>
      </w:pPr>
      <w:r>
        <w:t xml:space="preserve">To edit or remove a car later, or mark it Reserved / Sold, go to Inventory, find the car in the list, and use the pencil (edit), status dropdown, or trash (delete) icons on its row.</w:t>
      </w:r>
    </w:p>
    <w:p>
      <w:pPr>
        <w:pStyle w:val="Heading1"/>
        <w:spacing w:after="160" w:before="320"/>
      </w:pPr>
      <w:r>
        <w:t xml:space="preserve">4. Handling customer enquiries</w:t>
      </w:r>
    </w:p>
    <w:p>
      <w:pPr>
        <w:spacing w:after="160"/>
      </w:pPr>
      <w:r>
        <w:t xml:space="preserve">When a customer clicks “Enquire” or “Book a test drive” on a car, it lands in your Dealer Console under “Leads” — with their name, phone number, and message. New enquiries are marked “New”. Once you've called or messaged them back, change their status to “Contacted”, and to “Closed” once it's fully resolved (sold, not interested, etc). This keeps your team from losing track of who still needs a call.</w:t>
      </w:r>
    </w:p>
    <w:p>
      <w:pPr>
        <w:pStyle w:val="Heading1"/>
        <w:spacing w:after="160" w:before="320"/>
      </w:pPr>
      <w:r>
        <w:t xml:space="preserve">5. The AI assistant</w:t>
      </w:r>
    </w:p>
    <w:p>
      <w:pPr>
        <w:spacing w:after="160"/>
      </w:pPr>
      <w:r>
        <w:t xml:space="preserve">The chat bubble in the bottom-right corner of the customer site is an AI assistant that answers questions about whatever is currently in your inventory — it always reflects your latest prices and stock, since it reads live from the same data as your website. It cannot take payments or confirm a sale; it points customers toward using the Enquire button, just like a knowledgeable front-desk assistant would.</w:t>
      </w:r>
    </w:p>
    <w:p>
      <w:pPr>
        <w:pStyle w:val="Heading1"/>
        <w:spacing w:after="160" w:before="320"/>
      </w:pPr>
      <w:r>
        <w:t xml:space="preserve">6. Keeping the site safe</w:t>
      </w:r>
    </w:p>
    <w:p>
      <w:pPr>
        <w:pStyle w:val="ListParagraph"/>
        <w:numPr>
          <w:ilvl w:val="0"/>
          <w:numId w:val="1"/>
        </w:numPr>
        <w:spacing w:after="80"/>
      </w:pPr>
      <w:r>
        <w:t xml:space="preserve">Change the Dealer login password from the default one your developer set, and don't share it outside your staff.</w:t>
      </w:r>
    </w:p>
    <w:p>
      <w:pPr>
        <w:pStyle w:val="ListParagraph"/>
        <w:numPr>
          <w:ilvl w:val="0"/>
          <w:numId w:val="1"/>
        </w:numPr>
        <w:spacing w:after="80"/>
      </w:pPr>
      <w:r>
        <w:t xml:space="preserve">Only give the Dealer login to people who should be able to add/edit/delete cars — anyone with it has full control of your inventory.</w:t>
      </w:r>
    </w:p>
    <w:p>
      <w:pPr>
        <w:pStyle w:val="ListParagraph"/>
        <w:numPr>
          <w:ilvl w:val="0"/>
          <w:numId w:val="1"/>
        </w:numPr>
        <w:spacing w:after="80"/>
      </w:pPr>
      <w:r>
        <w:t xml:space="preserve">Your developer has set up automatic backups of your car listings and customer enquiries. Ask them to confirm backups are running and where they're stored, and to occasionally show you that a backup can actually be restored.</w:t>
      </w:r>
    </w:p>
    <w:p>
      <w:pPr>
        <w:pStyle w:val="Heading1"/>
        <w:spacing w:after="160" w:before="320"/>
      </w:pPr>
      <w:r>
        <w:t xml:space="preserve">7. If something goes wrong</w:t>
      </w:r>
    </w:p>
    <w:p>
      <w:pPr>
        <w:spacing w:after="160"/>
      </w:pPr>
      <w:r>
        <w:t xml:space="preserve">For anything beyond what's covered here — the site not loading, wanting a new feature, or a technical error — contact your developer directly rather than trying to fix it yourself in the Dealer Console, since some settings there are not meant to be changed casually.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3EFE6" w:val="clear"/>
          </w:tcPr>
          <w:p>
            <w:r>
              <w:rPr>
                <w:b/>
                <w:bCs/>
                <w:sz w:val="20"/>
                <w:szCs w:val="20"/>
              </w:rPr>
              <w:t xml:space="preserve">Developer / support contact</w:t>
            </w:r>
          </w:p>
        </w:tc>
        <w:tc>
          <w:tcPr>
            <w:tcW w:type="dxa" w:w="6000"/>
          </w:tcPr>
          <w:p>
            <w:r>
              <w:rPr>
                <w:sz w:val="20"/>
                <w:szCs w:val="20"/>
              </w:rPr>
              <w:t xml:space="preserve">________________________________</w:t>
            </w:r>
          </w:p>
        </w:tc>
      </w:tr>
      <w:tr>
        <w:tc>
          <w:tcPr>
            <w:tcW w:type="dxa" w:w="3000"/>
            <w:shd w:fill="F3EFE6" w:val="clear"/>
          </w:tcPr>
          <w:p>
            <w:r>
              <w:rPr>
                <w:b/>
                <w:bCs/>
                <w:sz w:val="20"/>
                <w:szCs w:val="20"/>
              </w:rPr>
              <w:t xml:space="preserve">Preferred contact method</w:t>
            </w:r>
          </w:p>
        </w:tc>
        <w:tc>
          <w:tcPr>
            <w:tcW w:type="dxa" w:w="6000"/>
          </w:tcPr>
          <w:p>
            <w:r>
              <w:rPr>
                <w:sz w:val="20"/>
                <w:szCs w:val="20"/>
              </w:rPr>
              <w:t xml:space="preserve">________________________________</w:t>
            </w:r>
          </w:p>
        </w:tc>
      </w:tr>
    </w:tbl>
    <w:p>
      <w:r>
        <w:br w:type="page"/>
      </w:r>
    </w:p>
    <w:p>
      <w:pPr>
        <w:pStyle w:val="Heading1"/>
        <w:spacing w:after="160" w:before="320"/>
      </w:pPr>
      <w:r>
        <w:t xml:space="preserve">Appendix: Technical summary (for your developer's reference)</w:t>
      </w:r>
    </w:p>
    <w:p>
      <w:pPr>
        <w:spacing w:after="160"/>
      </w:pPr>
      <w:r>
        <w:t xml:space="preserve">This page is for whoever maintains the site technically — you don't need to understand it to run your business day to 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3EFE6" w:val="clear"/>
          </w:tcPr>
          <w:p>
            <w:r>
              <w:rPr>
                <w:b/>
                <w:bCs/>
                <w:sz w:val="20"/>
                <w:szCs w:val="20"/>
              </w:rPr>
              <w:t xml:space="preserve">Source code</w:t>
            </w:r>
          </w:p>
        </w:tc>
        <w:tc>
          <w:tcPr>
            <w:tcW w:type="dxa" w:w="6000"/>
          </w:tcPr>
          <w:p>
            <w:r>
              <w:rPr>
                <w:sz w:val="20"/>
                <w:szCs w:val="20"/>
              </w:rPr>
              <w:t xml:space="preserve">GitHub repository — ask your developer for the link/access</w:t>
            </w:r>
          </w:p>
        </w:tc>
      </w:tr>
      <w:tr>
        <w:tc>
          <w:tcPr>
            <w:tcW w:type="dxa" w:w="3000"/>
            <w:shd w:fill="F3EFE6" w:val="clear"/>
          </w:tcPr>
          <w:p>
            <w:r>
              <w:rPr>
                <w:b/>
                <w:bCs/>
                <w:sz w:val="20"/>
                <w:szCs w:val="20"/>
              </w:rPr>
              <w:t xml:space="preserve">Frontend hosting</w:t>
            </w:r>
          </w:p>
        </w:tc>
        <w:tc>
          <w:tcPr>
            <w:tcW w:type="dxa" w:w="6000"/>
          </w:tcPr>
          <w:p>
            <w:r>
              <w:rPr>
                <w:sz w:val="20"/>
                <w:szCs w:val="20"/>
              </w:rPr>
              <w:t xml:space="preserve">________________________ (e.g. Vercel)</w:t>
            </w:r>
          </w:p>
        </w:tc>
      </w:tr>
      <w:tr>
        <w:tc>
          <w:tcPr>
            <w:tcW w:type="dxa" w:w="3000"/>
            <w:shd w:fill="F3EFE6" w:val="clear"/>
          </w:tcPr>
          <w:p>
            <w:r>
              <w:rPr>
                <w:b/>
                <w:bCs/>
                <w:sz w:val="20"/>
                <w:szCs w:val="20"/>
              </w:rPr>
              <w:t xml:space="preserve">Backend hosting</w:t>
            </w:r>
          </w:p>
        </w:tc>
        <w:tc>
          <w:tcPr>
            <w:tcW w:type="dxa" w:w="6000"/>
          </w:tcPr>
          <w:p>
            <w:r>
              <w:rPr>
                <w:sz w:val="20"/>
                <w:szCs w:val="20"/>
              </w:rPr>
              <w:t xml:space="preserve">________________________ (e.g. Render)</w:t>
            </w:r>
          </w:p>
        </w:tc>
      </w:tr>
      <w:tr>
        <w:tc>
          <w:tcPr>
            <w:tcW w:type="dxa" w:w="3000"/>
            <w:shd w:fill="F3EFE6" w:val="clear"/>
          </w:tcPr>
          <w:p>
            <w:r>
              <w:rPr>
                <w:b/>
                <w:bCs/>
                <w:sz w:val="20"/>
                <w:szCs w:val="20"/>
              </w:rPr>
              <w:t xml:space="preserve">Database</w:t>
            </w:r>
          </w:p>
        </w:tc>
        <w:tc>
          <w:tcPr>
            <w:tcW w:type="dxa" w:w="6000"/>
          </w:tcPr>
          <w:p>
            <w:r>
              <w:rPr>
                <w:sz w:val="20"/>
                <w:szCs w:val="20"/>
              </w:rPr>
              <w:t xml:space="preserve">________________________ (e.g. Neon PostgreSQL)</w:t>
            </w:r>
          </w:p>
        </w:tc>
      </w:tr>
      <w:tr>
        <w:tc>
          <w:tcPr>
            <w:tcW w:type="dxa" w:w="3000"/>
            <w:shd w:fill="F3EFE6" w:val="clear"/>
          </w:tcPr>
          <w:p>
            <w:r>
              <w:rPr>
                <w:b/>
                <w:bCs/>
                <w:sz w:val="20"/>
                <w:szCs w:val="20"/>
              </w:rPr>
              <w:t xml:space="preserve">Photo storage</w:t>
            </w:r>
          </w:p>
        </w:tc>
        <w:tc>
          <w:tcPr>
            <w:tcW w:type="dxa" w:w="6000"/>
          </w:tcPr>
          <w:p>
            <w:r>
              <w:rPr>
                <w:sz w:val="20"/>
                <w:szCs w:val="20"/>
              </w:rPr>
              <w:t xml:space="preserve">________________________ (e.g. Cloudinary)</w:t>
            </w:r>
          </w:p>
        </w:tc>
      </w:tr>
      <w:tr>
        <w:tc>
          <w:tcPr>
            <w:tcW w:type="dxa" w:w="3000"/>
            <w:shd w:fill="F3EFE6" w:val="clear"/>
          </w:tcPr>
          <w:p>
            <w:r>
              <w:rPr>
                <w:b/>
                <w:bCs/>
                <w:sz w:val="20"/>
                <w:szCs w:val="20"/>
              </w:rPr>
              <w:t xml:space="preserve">Backup schedule</w:t>
            </w:r>
          </w:p>
        </w:tc>
        <w:tc>
          <w:tcPr>
            <w:tcW w:type="dxa" w:w="6000"/>
          </w:tcPr>
          <w:p>
            <w:r>
              <w:rPr>
                <w:sz w:val="20"/>
                <w:szCs w:val="20"/>
              </w:rPr>
              <w:t xml:space="preserve">________________________</w:t>
            </w:r>
          </w:p>
        </w:tc>
      </w:tr>
    </w:tbl>
    <w:p>
      <w:pPr>
        <w:spacing w:after="200"/>
      </w:pPr>
    </w:p>
    <w:p>
      <w:pPr>
        <w:spacing w:after="160"/>
      </w:pPr>
      <w:r>
        <w:t xml:space="preserve">Full technical setup, environment variables, and API documentation are in the repository's README.md files (one for the frontend, one for the backend).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2026-08-16T18:31:10.194Z</dcterms:created>
  <dcterms:modified xsi:type="dcterms:W3CDTF">2026-08-16T18:31:10.206Z</dcterms:modified>
</cp:coreProperties>
</file>

<file path=docProps/custom.xml><?xml version="1.0" encoding="utf-8"?>
<Properties xmlns="http://schemas.openxmlformats.org/officeDocument/2006/custom-properties" xmlns:vt="http://schemas.openxmlformats.org/officeDocument/2006/docPropsVTypes"/>
</file>