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2CC"/>
  <w:body>
    <w:p w:rsidR="00000000" w:rsidDel="00000000" w:rsidP="00000000" w:rsidRDefault="00000000" w:rsidRPr="00000000" w14:paraId="00000001">
      <w:pPr>
        <w:pStyle w:val="Heading2"/>
        <w:spacing w:after="0" w:before="0" w:lineRule="auto"/>
        <w:ind w:left="-540" w:firstLine="0"/>
        <w:rPr>
          <w:rFonts w:ascii="Nunito" w:cs="Nunito" w:eastAsia="Nunito" w:hAnsi="Nunito"/>
          <w:b w:val="1"/>
          <w:sz w:val="30"/>
          <w:szCs w:val="30"/>
        </w:rPr>
      </w:pPr>
      <w:bookmarkStart w:colFirst="0" w:colLast="0" w:name="_hbc25zkbcrf4" w:id="0"/>
      <w:bookmarkEnd w:id="0"/>
      <w:r w:rsidDel="00000000" w:rsidR="00000000" w:rsidRPr="00000000">
        <w:rPr>
          <w:rFonts w:ascii="Nunito" w:cs="Nunito" w:eastAsia="Nunito" w:hAnsi="Nunito"/>
          <w:b w:val="1"/>
          <w:sz w:val="30"/>
          <w:szCs w:val="30"/>
          <w:rtl w:val="0"/>
        </w:rPr>
        <w:t xml:space="preserve">Six Elements(Jars) of ML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The Six-Jar framework consists of the following elements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before="240" w:lineRule="auto"/>
        <w:ind w:left="-18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Data.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0" w:beforeAutospacing="0" w:lineRule="auto"/>
        <w:ind w:left="-18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Tasks.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0" w:beforeAutospacing="0" w:lineRule="auto"/>
        <w:ind w:left="-18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Models.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Rule="auto"/>
        <w:ind w:left="-18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Loss Function.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Rule="auto"/>
        <w:ind w:left="-18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Learning Algorithm.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240" w:before="0" w:beforeAutospacing="0" w:lineRule="auto"/>
        <w:ind w:left="-18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Evaluation.</w:t>
      </w:r>
    </w:p>
    <w:sectPr>
      <w:headerReference r:id="rId6" w:type="default"/>
      <w:pgSz w:h="15840" w:w="12240"/>
      <w:pgMar w:bottom="1440" w:top="1440" w:left="1440" w:right="1440" w:header="144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Nuni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9">
    <w:pPr>
      <w:rPr>
        <w:rFonts w:ascii="Nunito" w:cs="Nunito" w:eastAsia="Nunito" w:hAnsi="Nunito"/>
        <w:b w:val="1"/>
        <w:sz w:val="36"/>
        <w:szCs w:val="36"/>
      </w:rPr>
    </w:pPr>
    <w:r w:rsidDel="00000000" w:rsidR="00000000" w:rsidRPr="00000000">
      <w:rPr>
        <w:rFonts w:ascii="Nunito" w:cs="Nunito" w:eastAsia="Nunito" w:hAnsi="Nunito"/>
        <w:b w:val="1"/>
        <w:color w:val="6fa8dc"/>
        <w:sz w:val="36"/>
        <w:szCs w:val="36"/>
        <w:u w:val="single"/>
        <w:rtl w:val="0"/>
      </w:rPr>
      <w:t xml:space="preserve">PadhAI: Expert Systems &amp; 6 Jars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A">
    <w:pPr>
      <w:rPr>
        <w:rFonts w:ascii="Nunito" w:cs="Nunito" w:eastAsia="Nunito" w:hAnsi="Nunito"/>
        <w:sz w:val="36"/>
        <w:szCs w:val="36"/>
      </w:rPr>
    </w:pPr>
    <w:r w:rsidDel="00000000" w:rsidR="00000000" w:rsidRPr="00000000">
      <w:rPr>
        <w:rFonts w:ascii="Nunito" w:cs="Nunito" w:eastAsia="Nunito" w:hAnsi="Nunito"/>
        <w:sz w:val="36"/>
        <w:szCs w:val="36"/>
        <w:rtl w:val="0"/>
      </w:rPr>
      <w:t xml:space="preserve">One Fourth Labs</w:t>
    </w:r>
  </w:p>
  <w:p w:rsidR="00000000" w:rsidDel="00000000" w:rsidP="00000000" w:rsidRDefault="00000000" w:rsidRPr="00000000" w14:paraId="0000000B">
    <w:pPr>
      <w:rPr>
        <w:rFonts w:ascii="Nunito" w:cs="Nunito" w:eastAsia="Nunito" w:hAnsi="Nunito"/>
        <w:sz w:val="36"/>
        <w:szCs w:val="36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C">
    <w:pPr>
      <w:rPr>
        <w:rFonts w:ascii="Nunito" w:cs="Nunito" w:eastAsia="Nunito" w:hAnsi="Nunito"/>
        <w:b w:val="1"/>
        <w:color w:val="6fa8dc"/>
        <w:sz w:val="36"/>
        <w:szCs w:val="36"/>
        <w:u w:val="singl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-regular.ttf"/><Relationship Id="rId2" Type="http://schemas.openxmlformats.org/officeDocument/2006/relationships/font" Target="fonts/Nunito-bold.ttf"/><Relationship Id="rId3" Type="http://schemas.openxmlformats.org/officeDocument/2006/relationships/font" Target="fonts/Nunito-italic.ttf"/><Relationship Id="rId4" Type="http://schemas.openxmlformats.org/officeDocument/2006/relationships/font" Target="fonts/Nuni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