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rtprtpecawaf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Data and Task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What kind of data and tasks can Perceptron process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Perceptron can also take real inputs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00000000002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45223682268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tblGridChange w:id="0">
          <w:tblGrid>
            <w:gridCol w:w="2451.945223682268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3260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44k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3">
      <w:pPr>
        <w:ind w:left="144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Apply feature scaling to standardize real input values x’ = (x-min)/(max-min)</w:t>
      </w:r>
      <w:r w:rsidDel="00000000" w:rsidR="00000000" w:rsidRPr="00000000">
        <w:rPr>
          <w:rtl w:val="0"/>
        </w:rPr>
      </w:r>
    </w:p>
    <w:tbl>
      <w:tblPr>
        <w:tblStyle w:val="Table2"/>
        <w:tblW w:w="10425.000000000002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45223682268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tblGridChange w:id="0">
          <w:tblGrid>
            <w:gridCol w:w="2451.945223682268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 w14:paraId="0000009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A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