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jkocrz8311bf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Learning - Why it works?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intuition behind the Perceptron learning algorithm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 = [w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…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[x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…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Cos 𝜃 = w.x/||w||x||, here the numerator can be replaced with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denominator is always positive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 Cos 𝜃 ∝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𝜃 ranges from 0 to 180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cos 𝜃 ranges from 1 to -1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cos𝜃 &gt; 0, it is an acute angle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cos𝜃 &lt; 0, it is an obtuse angle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∈ P, if w.x &lt; 0, then it means that the angle(𝛂) between this x and the current w is greater than 90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but we want 𝛂 &lt; 90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happens to the new angle 𝛂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when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 + 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Cos𝛂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∝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          ∝ (w+x)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          ∝w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+ x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x(always +ve)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∝cos𝛂 + x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x(some +ve value)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means that the cosine is going to increase, which leads to decrease of 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x ∈ N, if w.x &gt; 0, then it means that the angle(𝛂) between this x and the current w is less than 90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but we want 𝛂 &gt; 90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happens to the new angle 𝛂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when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 - x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Cos𝛂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∝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          ∝ (w-x)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          ∝w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- x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x(always +ve)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∝cos𝛂 - x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x(some +ve value)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means that the cosine is going to decrease, which leads to increase of 𝛂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