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engzfkw49sl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Learning Algorithm (Non-Math version)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use the same Gradient Descent algorithm as before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will be looking at the non-math version of the learning algorithm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Neural Network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104744" cy="41230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4104744" cy="4123069"/>
                          <a:chOff x="827950" y="140000"/>
                          <a:chExt cx="6383000" cy="6405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7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4714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7144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4714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3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47144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2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545754" y="8066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545754" y="1047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04744" cy="412306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4744" cy="41230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algorithm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Initialise: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…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313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randomly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ŷ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L(w,b) Cross-entropy loss function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313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313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 η𝚫b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Pytorch/Tensorflow have functions to compute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m:t>δ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 and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Till satisfied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Continue till Loss &lt; ε (some defined value)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1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