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b w:val="1"/>
          <w:sz w:val="30"/>
          <w:szCs w:val="30"/>
        </w:rPr>
      </w:pPr>
      <w:bookmarkStart w:colFirst="0" w:colLast="0" w:name="_seqjv2l6xap0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Complex functions in the real world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Are such complex functions seen in most real world examples?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Consider predicting whether the Annual Income of person </w:t>
      </w:r>
      <m:oMath>
        <m:r>
          <m:t>≥</m:t>
        </m:r>
        <m:r>
          <w:rPr/>
          <m:t xml:space="preserve"> 50k or &lt;50k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8"/>
        <w:gridCol w:w="1908"/>
        <w:gridCol w:w="1908"/>
        <w:gridCol w:w="1908"/>
        <w:gridCol w:w="1908"/>
        <w:tblGridChange w:id="0">
          <w:tblGrid>
            <w:gridCol w:w="1908"/>
            <w:gridCol w:w="1908"/>
            <w:gridCol w:w="1908"/>
            <w:gridCol w:w="1908"/>
            <w:gridCol w:w="190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Education year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Plotting the data would give us a plot like so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Non 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Coloured for +ve and -ve</w:t>
            </w:r>
          </w:p>
        </w:tc>
      </w:tr>
      <w:tr>
        <w:trPr>
          <w:trHeight w:val="5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643188" cy="2014889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20148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776225" cy="2018347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225" cy="2018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 </m:t>
            </m:r>
          </m:e>
        </m:acc>
        <m:r>
          <w:rPr/>
          <m:t xml:space="preserve">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,....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income</m:t>
            </m:r>
          </m:e>
        </m:acc>
        <m:r>
          <w:rPr/>
          <m:t xml:space="preserve"> 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(age, hour, ... education)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Consider predicting whether the person need to be diagnosed with a liver ailment or not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30"/>
        <w:gridCol w:w="2220"/>
        <w:gridCol w:w="2580"/>
        <w:gridCol w:w="1920"/>
        <w:tblGridChange w:id="0">
          <w:tblGrid>
            <w:gridCol w:w="1290"/>
            <w:gridCol w:w="1530"/>
            <w:gridCol w:w="2220"/>
            <w:gridCol w:w="2580"/>
            <w:gridCol w:w="192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T_Bilirubin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Diagnosis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Plotting the data gives us</w:t>
      </w:r>
    </w:p>
    <w:tbl>
      <w:tblPr>
        <w:tblStyle w:val="Table4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Coloured for +ve and -ve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2271" cy="2014538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71" cy="2014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2032000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 </m:t>
            </m:r>
          </m:e>
        </m:acc>
        <m:r>
          <w:rPr/>
          <m:t xml:space="preserve">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,....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disease</m:t>
            </m:r>
          </m:e>
        </m:acc>
        <m:r>
          <w:rPr/>
          <m:t xml:space="preserve"> 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(age, albumin, ... direc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-</m:t>
            </m:r>
          </m:sub>
        </m:sSub>
        <m:r>
          <w:rPr/>
          <m:t xml:space="preserve">bilirubin)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Here are a few more examples of complex decision boundaries</w:t>
      </w:r>
    </w:p>
    <w:tbl>
      <w:tblPr>
        <w:tblStyle w:val="Table5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Separated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Separated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9558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841500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0328" cy="1808798"/>
                  <wp:effectExtent b="0" l="0" r="0" t="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328" cy="1808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8298" cy="1818323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98" cy="1818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spacing w:after="0" w:before="0" w:lineRule="auto"/>
        <w:ind w:left="-540" w:firstLine="0"/>
        <w:rPr>
          <w:rFonts w:ascii="Nunito" w:cs="Nunito" w:eastAsia="Nunito" w:hAnsi="Nunito"/>
        </w:rPr>
      </w:pPr>
      <w:bookmarkStart w:colFirst="0" w:colLast="0" w:name="_9nwuxbvhap2w" w:id="1"/>
      <w:bookmarkEnd w:id="1"/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81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5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5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