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oa3kxz26dev9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Introducing Adagrad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convert the adaptive learning rate intuition into an equation?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Intuition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Decay the learning rate for parameters in proportion to their update history (fewer updates, lesser decay)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Adagrad (Adaptive Gradient) is an algorithm which satisfies the above intuition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Adagrad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t-1</m:t>
            </m:r>
          </m:sub>
        </m:sSub>
        <m:r>
          <w:rPr>
            <w:rFonts w:ascii="Nunito" w:cs="Nunito" w:eastAsia="Nunito" w:hAnsi="Nunito"/>
          </w:rPr>
          <m:t xml:space="preserve"> + (</m:t>
        </m:r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sSup>
          <m:sSupPr>
            <m:ctrlPr>
              <w:rPr>
                <w:rFonts w:ascii="Nunito" w:cs="Nunito" w:eastAsia="Nunito" w:hAnsi="Nunito"/>
              </w:rPr>
            </m:ctrlPr>
          </m:sSupPr>
          <m:e>
            <m:r>
              <w:rPr>
                <w:rFonts w:ascii="Nunito" w:cs="Nunito" w:eastAsia="Nunito" w:hAnsi="Nunito"/>
              </w:rPr>
              <m:t xml:space="preserve">)</m:t>
            </m:r>
          </m:e>
          <m:sup>
            <m:r>
              <w:rPr>
                <w:rFonts w:ascii="Nunito" w:cs="Nunito" w:eastAsia="Nunito" w:hAnsi="Nunito"/>
              </w:rPr>
              <m:t xml:space="preserve">2</m:t>
            </m:r>
          </m:sup>
        </m:sSup>
        <m:r>
          <w:rPr>
            <w:rFonts w:ascii="Nunito" w:cs="Nunito" w:eastAsia="Nunito" w:hAnsi="Nunito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value increments based on the gradient of that particular iteration, i.e. the value of the feature is non-zero.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case of dense features, it increments for most iterations, resulting in a larger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value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sparse features, does not increment much as the gradient value is often 0, leading to a lower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value.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t+1</m:t>
            </m:r>
          </m:sub>
        </m:sSub>
        <m:r>
          <w:rPr>
            <w:rFonts w:ascii="Nunito" w:cs="Nunito" w:eastAsia="Nunito" w:hAnsi="Nunito"/>
          </w:rPr>
          <m:t xml:space="preserve"> =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  <m:r>
          <w:rPr>
            <w:rFonts w:ascii="Nunito" w:cs="Nunito" w:eastAsia="Nunito" w:hAnsi="Nunito"/>
          </w:rPr>
          <m:t xml:space="preserve"> -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Nunito" w:cs="Nunito" w:eastAsia="Nunito" w:hAnsi="Nunito"/>
                  </w:rPr>
                </m:ctrlPr>
              </m:radPr>
              <m:e>
                <m:r>
                  <w:rPr>
                    <w:rFonts w:ascii="Nunito" w:cs="Nunito" w:eastAsia="Nunito" w:hAnsi="Nunito"/>
                  </w:rPr>
                  <m:t xml:space="preserve">(</m:t>
                </m:r>
                <m:sSub>
                  <m:sSubPr>
                    <m:ctrlPr>
                      <w:rPr>
                        <w:rFonts w:ascii="Nunito" w:cs="Nunito" w:eastAsia="Nunito" w:hAnsi="Nunito"/>
                      </w:rPr>
                    </m:ctrlPr>
                  </m:sSubPr>
                  <m:e>
                    <m:r>
                      <w:rPr>
                        <w:rFonts w:ascii="Nunito" w:cs="Nunito" w:eastAsia="Nunito" w:hAnsi="Nunito"/>
                      </w:rPr>
                      <m:t>υ</m:t>
                    </m:r>
                  </m:e>
                  <m:sub>
                    <m:r>
                      <w:rPr>
                        <w:rFonts w:ascii="Nunito" w:cs="Nunito" w:eastAsia="Nunito" w:hAnsi="Nunito"/>
                      </w:rPr>
                      <m:t xml:space="preserve">t</m:t>
                    </m:r>
                  </m:sub>
                </m:sSub>
                <m:r>
                  <w:rPr>
                    <w:rFonts w:ascii="Nunito" w:cs="Nunito" w:eastAsia="Nunito" w:hAnsi="Nunito"/>
                  </w:rPr>
                  <m:t xml:space="preserve">) </m:t>
                </m:r>
              </m:e>
            </m:rad>
            <m:r>
              <w:rPr>
                <w:rFonts w:ascii="Nunito" w:cs="Nunito" w:eastAsia="Nunito" w:hAnsi="Nunito"/>
              </w:rPr>
              <m:t xml:space="preserve">+ </m:t>
            </m:r>
            <m:r>
              <w:rPr>
                <w:rFonts w:ascii="Nunito" w:cs="Nunito" w:eastAsia="Nunito" w:hAnsi="Nunito"/>
              </w:rPr>
              <m:t>ϵ</m:t>
            </m:r>
          </m:den>
        </m:f>
        <m:r>
          <w:rPr>
            <w:rFonts w:ascii="Nunito" w:cs="Nunito" w:eastAsia="Nunito" w:hAnsi="Nunito"/>
          </w:rPr>
          <m:t>∇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>ω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denominator term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>υ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  <m:r>
              <w:rPr>
                <w:rFonts w:ascii="Nunito" w:cs="Nunito" w:eastAsia="Nunito" w:hAnsi="Nunito"/>
              </w:rPr>
              <m:t xml:space="preserve">) </m:t>
            </m:r>
          </m:e>
        </m:rad>
      </m:oMath>
      <w:r w:rsidDel="00000000" w:rsidR="00000000" w:rsidRPr="00000000">
        <w:rPr>
          <w:rFonts w:ascii="Cardo" w:cs="Cardo" w:eastAsia="Cardo" w:hAnsi="Cardo"/>
          <w:rtl w:val="0"/>
        </w:rPr>
        <w:t xml:space="preserve"> serves to regulate the learning rate η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dense features,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larger,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>υ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  <m:r>
              <w:rPr>
                <w:rFonts w:ascii="Nunito" w:cs="Nunito" w:eastAsia="Nunito" w:hAnsi="Nunito"/>
              </w:rPr>
              <m:t xml:space="preserve">) </m:t>
            </m:r>
          </m:e>
        </m:rad>
      </m:oMath>
      <w:r w:rsidDel="00000000" w:rsidR="00000000" w:rsidRPr="00000000">
        <w:rPr>
          <w:rFonts w:ascii="Cardo" w:cs="Cardo" w:eastAsia="Cardo" w:hAnsi="Cardo"/>
          <w:rtl w:val="0"/>
        </w:rPr>
        <w:t xml:space="preserve"> becomes larger thereby lowering η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sparse features,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υ</m:t>
            </m:r>
          </m:e>
          <m:sub>
            <m:r>
              <w:rPr>
                <w:rFonts w:ascii="Nunito" w:cs="Nunito" w:eastAsia="Nunito" w:hAnsi="Nunito"/>
              </w:rPr>
              <m:t xml:space="preserve">t</m:t>
            </m:r>
          </m:sub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is smaller,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>υ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  <m:r>
              <w:rPr>
                <w:rFonts w:ascii="Nunito" w:cs="Nunito" w:eastAsia="Nunito" w:hAnsi="Nunito"/>
              </w:rPr>
              <m:t xml:space="preserve">) </m:t>
            </m:r>
          </m:e>
        </m:rad>
      </m:oMath>
      <w:r w:rsidDel="00000000" w:rsidR="00000000" w:rsidRPr="00000000">
        <w:rPr>
          <w:rFonts w:ascii="Cardo" w:cs="Cardo" w:eastAsia="Cardo" w:hAnsi="Cardo"/>
          <w:rtl w:val="0"/>
        </w:rPr>
        <w:t xml:space="preserve"> becomes smaller and lowers η to a smaller extent.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m:oMath>
        <m:r>
          <m:t>ϵ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term is added to the denominator </w:t>
      </w:r>
      <m:oMath>
        <m:rad>
          <m:radPr>
            <m:degHide m:val="1"/>
            <m:ctrlPr>
              <w:rPr>
                <w:rFonts w:ascii="Nunito" w:cs="Nunito" w:eastAsia="Nunito" w:hAnsi="Nunito"/>
              </w:rPr>
            </m:ctrlPr>
          </m:radPr>
          <m:e>
            <m:r>
              <w:rPr>
                <w:rFonts w:ascii="Nunito" w:cs="Nunito" w:eastAsia="Nunito" w:hAnsi="Nunito"/>
              </w:rPr>
              <m:t xml:space="preserve">(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>υ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t</m:t>
                </m:r>
              </m:sub>
            </m:sSub>
            <m:r>
              <w:rPr>
                <w:rFonts w:ascii="Nunito" w:cs="Nunito" w:eastAsia="Nunito" w:hAnsi="Nunito"/>
              </w:rPr>
              <m:t xml:space="preserve">) </m:t>
            </m:r>
          </m:e>
        </m:rad>
        <m:r>
          <w:rPr>
            <w:rFonts w:ascii="Nunito" w:cs="Nunito" w:eastAsia="Nunito" w:hAnsi="Nunito"/>
          </w:rPr>
          <m:t xml:space="preserve">+ </m:t>
        </m:r>
        <m:r>
          <w:rPr>
            <w:rFonts w:ascii="Nunito" w:cs="Nunito" w:eastAsia="Nunito" w:hAnsi="Nunito"/>
          </w:rPr>
          <m:t>ϵ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prevent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divide-by-zero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error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from occurring in the case of very sparse features i.e. where all the data points yield zero up till the measured instance.</w:t>
      </w:r>
    </w:p>
    <w:sectPr>
      <w:headerReference r:id="rId6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10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