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1"/>
        <w:spacing w:after="0" w:before="0" w:lineRule="auto"/>
        <w:ind w:left="-540" w:firstLine="0"/>
        <w:rPr>
          <w:rFonts w:ascii="Nunito" w:cs="Nunito" w:eastAsia="Nunito" w:hAnsi="Nunito"/>
          <w:b w:val="1"/>
          <w:sz w:val="36"/>
          <w:szCs w:val="36"/>
        </w:rPr>
      </w:pPr>
      <w:bookmarkStart w:colFirst="0" w:colLast="0" w:name="_yhmy3tw4sfpd" w:id="0"/>
      <w:bookmarkEnd w:id="0"/>
      <w:r w:rsidDel="00000000" w:rsidR="00000000" w:rsidRPr="00000000">
        <w:rPr>
          <w:rFonts w:ascii="Nunito" w:cs="Nunito" w:eastAsia="Nunito" w:hAnsi="Nunito"/>
          <w:b w:val="1"/>
          <w:sz w:val="36"/>
          <w:szCs w:val="36"/>
          <w:rtl w:val="0"/>
        </w:rPr>
        <w:t xml:space="preserve">Initialization Methods</w:t>
      </w:r>
    </w:p>
    <w:p w:rsidR="00000000" w:rsidDel="00000000" w:rsidP="00000000" w:rsidRDefault="00000000" w:rsidRPr="00000000" w14:paraId="00000002">
      <w:pPr>
        <w:pStyle w:val="Heading2"/>
        <w:spacing w:after="0" w:before="0" w:lineRule="auto"/>
        <w:ind w:left="-540" w:firstLine="0"/>
        <w:rPr>
          <w:rFonts w:ascii="Nunito" w:cs="Nunito" w:eastAsia="Nunito" w:hAnsi="Nunito"/>
          <w:b w:val="1"/>
          <w:sz w:val="30"/>
          <w:szCs w:val="30"/>
        </w:rPr>
      </w:pPr>
      <w:bookmarkStart w:colFirst="0" w:colLast="0" w:name="_apx1rfii2kc4" w:id="1"/>
      <w:bookmarkEnd w:id="1"/>
      <w:r w:rsidDel="00000000" w:rsidR="00000000" w:rsidRPr="00000000">
        <w:rPr>
          <w:rFonts w:ascii="Nunito" w:cs="Nunito" w:eastAsia="Nunito" w:hAnsi="Nunito"/>
          <w:b w:val="1"/>
          <w:sz w:val="30"/>
          <w:szCs w:val="30"/>
          <w:rtl w:val="0"/>
        </w:rPr>
        <w:t xml:space="preserve">Symmetry Breaking Problem</w:t>
      </w:r>
    </w:p>
    <w:p w:rsidR="00000000" w:rsidDel="00000000" w:rsidP="00000000" w:rsidRDefault="00000000" w:rsidRPr="00000000" w14:paraId="00000003">
      <w:pPr>
        <w:ind w:left="720" w:firstLine="0"/>
        <w:rPr>
          <w:rFonts w:ascii="Nunito" w:cs="Nunito" w:eastAsia="Nunito" w:hAnsi="Nunito"/>
        </w:rPr>
      </w:pPr>
      <w:r w:rsidDel="00000000" w:rsidR="00000000" w:rsidRPr="00000000">
        <w:rPr>
          <w:rFonts w:ascii="Nunito" w:cs="Nunito" w:eastAsia="Nunito" w:hAnsi="Nunito"/>
          <w:rtl w:val="0"/>
        </w:rPr>
        <w:t xml:space="preserve">Why not simply initialise all weights to 0?</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neural network that uses the logistic activation function</w:t>
      </w:r>
      <w:r w:rsidDel="00000000" w:rsidR="00000000" w:rsidRPr="00000000">
        <w:rPr>
          <w:rFonts w:ascii="Nunito" w:cs="Nunito" w:eastAsia="Nunito" w:hAnsi="Nunito"/>
        </w:rPr>
        <mc:AlternateContent>
          <mc:Choice Requires="wpg">
            <w:drawing>
              <wp:inline distB="114300" distT="114300" distL="114300" distR="114300">
                <wp:extent cx="2595563" cy="3947418"/>
                <wp:effectExtent b="0" l="0" r="0" t="0"/>
                <wp:docPr id="1" name=""/>
                <a:graphic>
                  <a:graphicData uri="http://schemas.microsoft.com/office/word/2010/wordprocessingGroup">
                    <wpg:wgp>
                      <wpg:cNvGrpSpPr/>
                      <wpg:grpSpPr>
                        <a:xfrm>
                          <a:off x="1092900" y="1121900"/>
                          <a:ext cx="2595563" cy="3947418"/>
                          <a:chOff x="1092900" y="1121900"/>
                          <a:chExt cx="3187450" cy="4897950"/>
                        </a:xfrm>
                      </wpg:grpSpPr>
                      <wps:wsp>
                        <wps:cNvSpPr/>
                        <wps:cNvPr id="2" name="Shape 2"/>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5" name="Shape 5"/>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6" name="Shape 6"/>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 name="Shape 7"/>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20" name="Shape 20"/>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21" name="Shape 21"/>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22" name="Shape 22"/>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23" name="Shape 23"/>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24" name="Shape 24"/>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25" name="Shape 25"/>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26" name="Shape 26"/>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27" name="Shape 27"/>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28" name="Shape 28"/>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18" name="Shape 18"/>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95563" cy="39474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95563" cy="3947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numPr>
          <w:ilvl w:val="1"/>
          <w:numId w:val="1"/>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06">
      <w:pPr>
        <w:numPr>
          <w:ilvl w:val="1"/>
          <w:numId w:val="1"/>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0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Let us initialise all the weights to 0</w:t>
      </w:r>
    </w:p>
    <w:p w:rsidR="00000000" w:rsidDel="00000000" w:rsidP="00000000" w:rsidRDefault="00000000" w:rsidRPr="00000000" w14:paraId="00000008">
      <w:pPr>
        <w:numPr>
          <w:ilvl w:val="1"/>
          <w:numId w:val="1"/>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=0</m:t>
        </m:r>
      </m:oMath>
      <w:r w:rsidDel="00000000" w:rsidR="00000000" w:rsidRPr="00000000">
        <w:rPr>
          <w:rtl w:val="0"/>
        </w:rPr>
      </w:r>
    </w:p>
    <w:p w:rsidR="00000000" w:rsidDel="00000000" w:rsidP="00000000" w:rsidRDefault="00000000" w:rsidRPr="00000000" w14:paraId="00000009">
      <w:pPr>
        <w:numPr>
          <w:ilvl w:val="1"/>
          <w:numId w:val="1"/>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0A">
      <w:pPr>
        <w:numPr>
          <w:ilvl w:val="1"/>
          <w:numId w:val="1"/>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oMath>
      <w:r w:rsidDel="00000000" w:rsidR="00000000" w:rsidRPr="00000000">
        <w:rPr>
          <w:rtl w:val="0"/>
        </w:rPr>
      </w:r>
    </w:p>
    <w:p w:rsidR="00000000" w:rsidDel="00000000" w:rsidP="00000000" w:rsidRDefault="00000000" w:rsidRPr="00000000" w14:paraId="0000000B">
      <w:pPr>
        <w:numPr>
          <w:ilvl w:val="1"/>
          <w:numId w:val="1"/>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But </w:t>
      </w: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Fonts w:ascii="Nunito" w:cs="Nunito" w:eastAsia="Nunito" w:hAnsi="Nunito"/>
          <w:rtl w:val="0"/>
        </w:rPr>
        <w:t xml:space="preserve"> and </w:t>
      </w: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0D">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Therefore </w:t>
      </w: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 </m:t>
        </m:r>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oMath>
      <w:r w:rsidDel="00000000" w:rsidR="00000000" w:rsidRPr="00000000">
        <w:rPr>
          <w:rtl w:val="0"/>
        </w:rPr>
      </w:r>
    </w:p>
    <w:p w:rsidR="00000000" w:rsidDel="00000000" w:rsidP="00000000" w:rsidRDefault="00000000" w:rsidRPr="00000000" w14:paraId="0000000E">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We can see that if we initialise the weights to equal values, then the equality carries through to the gradients associated with these weights, thereby keeping the weights equal throughout the training.</w:t>
      </w:r>
    </w:p>
    <w:p w:rsidR="00000000" w:rsidDel="00000000" w:rsidP="00000000" w:rsidRDefault="00000000" w:rsidRPr="00000000" w14:paraId="0000000F">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is known as the Symmetry Breaking Problem, where if you start with equal initialised weights, they remain equal through the training.</w:t>
      </w:r>
    </w:p>
    <w:p w:rsidR="00000000" w:rsidDel="00000000" w:rsidP="00000000" w:rsidRDefault="00000000" w:rsidRPr="00000000" w14:paraId="00000010">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Hence weights connected to the same neuron should never be initialised to the same value?</w:t>
      </w:r>
    </w:p>
    <w:p w:rsidR="00000000" w:rsidDel="00000000" w:rsidP="00000000" w:rsidRDefault="00000000" w:rsidRPr="00000000" w14:paraId="00000011">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Some conclusions we can make are as follows</w:t>
      </w:r>
    </w:p>
    <w:p w:rsidR="00000000" w:rsidDel="00000000" w:rsidP="00000000" w:rsidRDefault="00000000" w:rsidRPr="00000000" w14:paraId="00000012">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0</w:t>
      </w:r>
    </w:p>
    <w:p w:rsidR="00000000" w:rsidDel="00000000" w:rsidP="00000000" w:rsidRDefault="00000000" w:rsidRPr="00000000" w14:paraId="0000001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the same value</w:t>
      </w:r>
    </w:p>
    <w:sectPr>
      <w:headerReference r:id="rId7"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Activation Functions &amp; Initialization Methods</w:t>
    </w:r>
  </w:p>
  <w:p w:rsidR="00000000" w:rsidDel="00000000" w:rsidP="00000000" w:rsidRDefault="00000000" w:rsidRPr="00000000" w14:paraId="00000015">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