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ntoe9p0218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Imagenet Challenge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Imagenet challenge over the years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Imagenet dataset is a 1000-class, 1,000,000-image dataset (1000 images per class)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magenet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arge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cale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isual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ecognition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hallenge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ILSVRC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or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Imagenet Challenge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an annual contest for contender’s models to correctly classify the images in the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the Challenge results between 2010-2015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501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501900"/>
                          <a:chOff x="152400" y="152400"/>
                          <a:chExt cx="10668001" cy="4472763"/>
                        </a:xfrm>
                      </wpg:grpSpPr>
                      <pic:pic>
                        <pic:nvPicPr>
                          <pic:cNvPr descr="Imagenet-challenge_plots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0668001" cy="447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01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0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analyse the graph briefly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metric used to measure performance was Top-5 accuracy. I.e. If any of the top-five predicted class probabilities matched the true class, it was considered correct.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2010-2011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This was the pre-DL era, and the Machine Learning models that were submitted had an error  between 25-28 %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AlexNet (CNN) architecture smashed existing records with 16.4% error. It kickstarted the Deep Learning Era.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2013-2014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Significant improvements were made using models such as ZFNet, VGG and GoogLeNet. Error was brought down to ~6.7%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2015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Microsoft's ResNet successfully brought the error down to 3.57% which is lower than the error scored by humans!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of the reasons for beating the human-error was because some of the classes in the Imagenet Dataset were very fine-grained,  i.e. distinguishing between the different dog breeds.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interesting point to note is the consistently increasing depth of the Networks used. From shallow networks in the ML era right up to 152 layers in ResNet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