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النطاق-الكامل-للمشروع-halalstocks"/>
    <w:p>
      <w:pPr>
        <w:pStyle w:val="Heading1"/>
      </w:pPr>
      <w:r>
        <w:t xml:space="preserve">النطاق الكامل للمشروع: HalalStocks</w:t>
      </w:r>
    </w:p>
    <w:bookmarkStart w:id="20" w:name="ملخص-المشروع"/>
    <w:p>
      <w:pPr>
        <w:pStyle w:val="Heading2"/>
      </w:pPr>
      <w:r>
        <w:t xml:space="preserve">1. ملخص المشروع</w:t>
      </w:r>
    </w:p>
    <w:p>
      <w:pPr>
        <w:pStyle w:val="FirstParagraph"/>
      </w:pPr>
      <w:r>
        <w:t xml:space="preserve">HalalStocks هو مشروع تقني متكامل للاستثمار الإسلامي، ويتكون من:</w:t>
      </w:r>
    </w:p>
    <w:p>
      <w:pPr>
        <w:pStyle w:val="Compact"/>
        <w:numPr>
          <w:ilvl w:val="0"/>
          <w:numId w:val="1001"/>
        </w:numPr>
      </w:pPr>
      <w:r>
        <w:t xml:space="preserve">تطبيق Flutter متعدد المنصات</w:t>
      </w:r>
    </w:p>
    <w:p>
      <w:pPr>
        <w:pStyle w:val="Compact"/>
        <w:numPr>
          <w:ilvl w:val="0"/>
          <w:numId w:val="1001"/>
        </w:numPr>
      </w:pPr>
      <w:r>
        <w:t xml:space="preserve">واجهة خلفية Backend مكتوبة بلغة Go وتعمل بإطار Gin</w:t>
      </w:r>
    </w:p>
    <w:p>
      <w:pPr>
        <w:pStyle w:val="Compact"/>
        <w:numPr>
          <w:ilvl w:val="0"/>
          <w:numId w:val="1001"/>
        </w:numPr>
      </w:pPr>
      <w:r>
        <w:t xml:space="preserve">قاعدة بيانات PostgreSQL</w:t>
      </w:r>
    </w:p>
    <w:p>
      <w:pPr>
        <w:pStyle w:val="Compact"/>
        <w:numPr>
          <w:ilvl w:val="0"/>
          <w:numId w:val="1001"/>
        </w:numPr>
      </w:pPr>
      <w:r>
        <w:t xml:space="preserve">مسار ingesting/screening لجلب بيانات الأسهم وتشغيل الفحص الشرعي عليها</w:t>
      </w:r>
    </w:p>
    <w:p>
      <w:pPr>
        <w:pStyle w:val="FirstParagraph"/>
      </w:pPr>
      <w:r>
        <w:t xml:space="preserve">المشروع ليس مجرد أداة فحص أسهم، بل منصة استثمارية إسلامية تجمع بين اكتشاف الأسهم، تحليل التوافق الشرعي، متابعة الأسهم، التنبيهات، أدوات الزكاة والاستثمار الدوري، البيانات السوقية، والاشتراكات.</w:t>
      </w:r>
    </w:p>
    <w:bookmarkEnd w:id="20"/>
    <w:bookmarkStart w:id="21" w:name="الهدف-الأساسي-من-المنتج"/>
    <w:p>
      <w:pPr>
        <w:pStyle w:val="Heading2"/>
      </w:pPr>
      <w:r>
        <w:t xml:space="preserve">2. الهدف الأساسي من المنتج</w:t>
      </w:r>
    </w:p>
    <w:p>
      <w:pPr>
        <w:pStyle w:val="FirstParagraph"/>
      </w:pPr>
      <w:r>
        <w:t xml:space="preserve">المنصة مصممة لمساعدة المستثمر المسلم على:</w:t>
      </w:r>
    </w:p>
    <w:p>
      <w:pPr>
        <w:pStyle w:val="Compact"/>
        <w:numPr>
          <w:ilvl w:val="0"/>
          <w:numId w:val="1002"/>
        </w:numPr>
      </w:pPr>
      <w:r>
        <w:t xml:space="preserve">اكتشاف الأسهم حسب المنطقة الجغرافية</w:t>
      </w:r>
    </w:p>
    <w:p>
      <w:pPr>
        <w:pStyle w:val="Compact"/>
        <w:numPr>
          <w:ilvl w:val="0"/>
          <w:numId w:val="1002"/>
        </w:numPr>
      </w:pPr>
      <w:r>
        <w:t xml:space="preserve">معرفة ما إذا كان السهم يبدو متوافقًا مع الضوابط الشرعية</w:t>
      </w:r>
    </w:p>
    <w:p>
      <w:pPr>
        <w:pStyle w:val="Compact"/>
        <w:numPr>
          <w:ilvl w:val="0"/>
          <w:numId w:val="1002"/>
        </w:numPr>
      </w:pPr>
      <w:r>
        <w:t xml:space="preserve">فهم سبب تصنيف السهم ودرجته الشرعية</w:t>
      </w:r>
    </w:p>
    <w:p>
      <w:pPr>
        <w:pStyle w:val="Compact"/>
        <w:numPr>
          <w:ilvl w:val="0"/>
          <w:numId w:val="1002"/>
        </w:numPr>
      </w:pPr>
      <w:r>
        <w:t xml:space="preserve">متابعة الأسهم أو إضافتها إلى محفظة مبسطة</w:t>
      </w:r>
    </w:p>
    <w:p>
      <w:pPr>
        <w:pStyle w:val="Compact"/>
        <w:numPr>
          <w:ilvl w:val="0"/>
          <w:numId w:val="1002"/>
        </w:numPr>
      </w:pPr>
      <w:r>
        <w:t xml:space="preserve">تلقي تنبيهات عند تغيّر الحالة الشرعية</w:t>
      </w:r>
    </w:p>
    <w:p>
      <w:pPr>
        <w:pStyle w:val="Compact"/>
        <w:numPr>
          <w:ilvl w:val="0"/>
          <w:numId w:val="1002"/>
        </w:numPr>
      </w:pPr>
      <w:r>
        <w:t xml:space="preserve">استخدام أدوات مالية إسلامية عملية مثل الزكاة وDCA</w:t>
      </w:r>
    </w:p>
    <w:p>
      <w:pPr>
        <w:pStyle w:val="Compact"/>
        <w:numPr>
          <w:ilvl w:val="0"/>
          <w:numId w:val="1002"/>
        </w:numPr>
      </w:pPr>
      <w:r>
        <w:t xml:space="preserve">الوصول إلى مزايا إضافية عبر الاشتراك المدفوع</w:t>
      </w:r>
    </w:p>
    <w:bookmarkEnd w:id="21"/>
    <w:bookmarkStart w:id="31" w:name="النطاق-الوظيفي-من-منظور-المستخدم"/>
    <w:p>
      <w:pPr>
        <w:pStyle w:val="Heading2"/>
      </w:pPr>
      <w:r>
        <w:t xml:space="preserve">3. النطاق الوظيفي من منظور المستخدم</w:t>
      </w:r>
    </w:p>
    <w:bookmarkStart w:id="22" w:name="التسجيل-والدخول-وإدارة-الجلسة"/>
    <w:p>
      <w:pPr>
        <w:pStyle w:val="Heading3"/>
      </w:pPr>
      <w:r>
        <w:t xml:space="preserve">3.1 التسجيل والدخول وإدارة الجلسة</w:t>
      </w:r>
    </w:p>
    <w:p>
      <w:pPr>
        <w:pStyle w:val="FirstParagraph"/>
      </w:pPr>
      <w:r>
        <w:t xml:space="preserve">الموجود فعليًا في التطبيق والواجهة الخلفية:</w:t>
      </w:r>
    </w:p>
    <w:p>
      <w:pPr>
        <w:pStyle w:val="Compact"/>
        <w:numPr>
          <w:ilvl w:val="0"/>
          <w:numId w:val="1003"/>
        </w:numPr>
      </w:pPr>
      <w:r>
        <w:t xml:space="preserve">تسجيل مستخدم جديد</w:t>
      </w:r>
    </w:p>
    <w:p>
      <w:pPr>
        <w:pStyle w:val="Compact"/>
        <w:numPr>
          <w:ilvl w:val="0"/>
          <w:numId w:val="1003"/>
        </w:numPr>
      </w:pPr>
      <w:r>
        <w:t xml:space="preserve">تسجيل الدخول</w:t>
      </w:r>
    </w:p>
    <w:p>
      <w:pPr>
        <w:pStyle w:val="Compact"/>
        <w:numPr>
          <w:ilvl w:val="0"/>
          <w:numId w:val="1003"/>
        </w:numPr>
      </w:pPr>
      <w:r>
        <w:t xml:space="preserve">إدارة جلسة باستخدام JWT</w:t>
      </w:r>
    </w:p>
    <w:p>
      <w:pPr>
        <w:pStyle w:val="Compact"/>
        <w:numPr>
          <w:ilvl w:val="0"/>
          <w:numId w:val="1003"/>
        </w:numPr>
      </w:pPr>
      <w:r>
        <w:t xml:space="preserve">حفظ بيانات الجلسة محليًا داخل التطبيق</w:t>
      </w:r>
    </w:p>
    <w:p>
      <w:pPr>
        <w:pStyle w:val="Compact"/>
        <w:numPr>
          <w:ilvl w:val="0"/>
          <w:numId w:val="1003"/>
        </w:numPr>
      </w:pPr>
      <w:r>
        <w:t xml:space="preserve">تسجيل الخروج</w:t>
      </w:r>
    </w:p>
    <w:bookmarkEnd w:id="22"/>
    <w:bookmarkStart w:id="23" w:name="اكتشاف-الأسهم"/>
    <w:p>
      <w:pPr>
        <w:pStyle w:val="Heading3"/>
      </w:pPr>
      <w:r>
        <w:t xml:space="preserve">3.2 اكتشاف الأسهم</w:t>
      </w:r>
    </w:p>
    <w:p>
      <w:pPr>
        <w:pStyle w:val="FirstParagraph"/>
      </w:pPr>
      <w:r>
        <w:t xml:space="preserve">يدعم المشروع استكشاف الأسهم بعدة طرق:</w:t>
      </w:r>
    </w:p>
    <w:p>
      <w:pPr>
        <w:pStyle w:val="Compact"/>
        <w:numPr>
          <w:ilvl w:val="0"/>
          <w:numId w:val="1004"/>
        </w:numPr>
      </w:pPr>
      <w:r>
        <w:t xml:space="preserve">شاشة Discover تعرض الأسهم افتراضيًا من نطاق</w:t>
      </w:r>
      <w:r>
        <w:t xml:space="preserve"> </w:t>
      </w:r>
      <w:r>
        <w:rPr>
          <w:rStyle w:val="VerbatimChar"/>
        </w:rPr>
        <w:t xml:space="preserve">GLOBAL</w:t>
      </w:r>
    </w:p>
    <w:p>
      <w:pPr>
        <w:pStyle w:val="Compact"/>
        <w:numPr>
          <w:ilvl w:val="0"/>
          <w:numId w:val="1004"/>
        </w:numPr>
      </w:pPr>
      <w:r>
        <w:t xml:space="preserve">استعراض الأسهم حسب المنطقة</w:t>
      </w:r>
    </w:p>
    <w:p>
      <w:pPr>
        <w:pStyle w:val="Compact"/>
        <w:numPr>
          <w:ilvl w:val="0"/>
          <w:numId w:val="1004"/>
        </w:numPr>
      </w:pPr>
      <w:r>
        <w:t xml:space="preserve">فلترة محلية حسب الحالة الشرعية</w:t>
      </w:r>
    </w:p>
    <w:p>
      <w:pPr>
        <w:pStyle w:val="Compact"/>
        <w:numPr>
          <w:ilvl w:val="0"/>
          <w:numId w:val="1004"/>
        </w:numPr>
      </w:pPr>
      <w:r>
        <w:t xml:space="preserve">البحث باسم الشركة أو الرمز</w:t>
      </w:r>
    </w:p>
    <w:p>
      <w:pPr>
        <w:pStyle w:val="Compact"/>
        <w:numPr>
          <w:ilvl w:val="0"/>
          <w:numId w:val="1004"/>
        </w:numPr>
      </w:pPr>
      <w:r>
        <w:t xml:space="preserve">عرض الأسهم في بطاقات والانتقال لتفاصيل السهم</w:t>
      </w:r>
    </w:p>
    <w:bookmarkEnd w:id="23"/>
    <w:bookmarkStart w:id="24" w:name="صفحة-تفاصيل-السهم-والتحليل-الشرعي"/>
    <w:p>
      <w:pPr>
        <w:pStyle w:val="Heading3"/>
      </w:pPr>
      <w:r>
        <w:t xml:space="preserve">3.3 صفحة تفاصيل السهم والتحليل الشرعي</w:t>
      </w:r>
    </w:p>
    <w:p>
      <w:pPr>
        <w:pStyle w:val="FirstParagraph"/>
      </w:pPr>
      <w:r>
        <w:t xml:space="preserve">صفحة السهم تدعم عرض:</w:t>
      </w:r>
    </w:p>
    <w:p>
      <w:pPr>
        <w:pStyle w:val="Compact"/>
        <w:numPr>
          <w:ilvl w:val="0"/>
          <w:numId w:val="1005"/>
        </w:numPr>
      </w:pPr>
      <w:r>
        <w:t xml:space="preserve">معلومات الشركة الأساسية</w:t>
      </w:r>
    </w:p>
    <w:p>
      <w:pPr>
        <w:pStyle w:val="Compact"/>
        <w:numPr>
          <w:ilvl w:val="0"/>
          <w:numId w:val="1005"/>
        </w:numPr>
      </w:pPr>
      <w:r>
        <w:t xml:space="preserve">البيانات المالية الأساسية Fundamentals</w:t>
      </w:r>
    </w:p>
    <w:p>
      <w:pPr>
        <w:pStyle w:val="Compact"/>
        <w:numPr>
          <w:ilvl w:val="0"/>
          <w:numId w:val="1005"/>
        </w:numPr>
      </w:pPr>
      <w:r>
        <w:t xml:space="preserve">الحالة الشرعية</w:t>
      </w:r>
    </w:p>
    <w:p>
      <w:pPr>
        <w:pStyle w:val="Compact"/>
        <w:numPr>
          <w:ilvl w:val="0"/>
          <w:numId w:val="1005"/>
        </w:numPr>
      </w:pPr>
      <w:r>
        <w:t xml:space="preserve">الدرجة الشرعية</w:t>
      </w:r>
    </w:p>
    <w:p>
      <w:pPr>
        <w:pStyle w:val="Compact"/>
        <w:numPr>
          <w:ilvl w:val="0"/>
          <w:numId w:val="1005"/>
        </w:numPr>
      </w:pPr>
      <w:r>
        <w:t xml:space="preserve">نسبة الديون</w:t>
      </w:r>
    </w:p>
    <w:p>
      <w:pPr>
        <w:pStyle w:val="Compact"/>
        <w:numPr>
          <w:ilvl w:val="0"/>
          <w:numId w:val="1005"/>
        </w:numPr>
      </w:pPr>
      <w:r>
        <w:t xml:space="preserve">نسبة الدخل غير المتوافق</w:t>
      </w:r>
    </w:p>
    <w:p>
      <w:pPr>
        <w:pStyle w:val="Compact"/>
        <w:numPr>
          <w:ilvl w:val="0"/>
          <w:numId w:val="1005"/>
        </w:numPr>
      </w:pPr>
      <w:r>
        <w:t xml:space="preserve">نسبة التطهير</w:t>
      </w:r>
    </w:p>
    <w:p>
      <w:pPr>
        <w:pStyle w:val="Compact"/>
        <w:numPr>
          <w:ilvl w:val="0"/>
          <w:numId w:val="1005"/>
        </w:numPr>
      </w:pPr>
      <w:r>
        <w:t xml:space="preserve">الشرح والتعليل</w:t>
      </w:r>
    </w:p>
    <w:p>
      <w:pPr>
        <w:pStyle w:val="Compact"/>
        <w:numPr>
          <w:ilvl w:val="0"/>
          <w:numId w:val="1005"/>
        </w:numPr>
      </w:pPr>
      <w:r>
        <w:t xml:space="preserve">تقييمات المحللين</w:t>
      </w:r>
    </w:p>
    <w:p>
      <w:pPr>
        <w:pStyle w:val="Compact"/>
        <w:numPr>
          <w:ilvl w:val="0"/>
          <w:numId w:val="1005"/>
        </w:numPr>
      </w:pPr>
      <w:r>
        <w:t xml:space="preserve">تقدير زكاة يدوي خاص بالسهم</w:t>
      </w:r>
    </w:p>
    <w:p>
      <w:pPr>
        <w:pStyle w:val="Compact"/>
        <w:numPr>
          <w:ilvl w:val="0"/>
          <w:numId w:val="1005"/>
        </w:numPr>
      </w:pPr>
      <w:r>
        <w:t xml:space="preserve">متابعة/إلغاء متابعة السهم</w:t>
      </w:r>
    </w:p>
    <w:p>
      <w:pPr>
        <w:pStyle w:val="FirstParagraph"/>
      </w:pPr>
      <w:r>
        <w:t xml:space="preserve">كما أن الخلفية تقوم بفحص شرعي عند الطلب إذا كانت البيانات المالية موجودة والحالة الشرعية غير محفوظة.</w:t>
      </w:r>
    </w:p>
    <w:bookmarkEnd w:id="24"/>
    <w:bookmarkStart w:id="25" w:name="قائمة-المتابعة-المحفظة"/>
    <w:p>
      <w:pPr>
        <w:pStyle w:val="Heading3"/>
      </w:pPr>
      <w:r>
        <w:t xml:space="preserve">3.4 قائمة المتابعة / المحفظة</w:t>
      </w:r>
    </w:p>
    <w:p>
      <w:pPr>
        <w:pStyle w:val="FirstParagraph"/>
      </w:pPr>
      <w:r>
        <w:t xml:space="preserve">المشروع يستخدم جدول</w:t>
      </w:r>
      <w:r>
        <w:t xml:space="preserve"> </w:t>
      </w:r>
      <w:r>
        <w:rPr>
          <w:rStyle w:val="VerbatimChar"/>
        </w:rPr>
        <w:t xml:space="preserve">user_portfolios</w:t>
      </w:r>
      <w:r>
        <w:t xml:space="preserve"> </w:t>
      </w:r>
      <w:r>
        <w:t xml:space="preserve">ليغطي وظيفتين:</w:t>
      </w:r>
    </w:p>
    <w:p>
      <w:pPr>
        <w:pStyle w:val="Compact"/>
        <w:numPr>
          <w:ilvl w:val="0"/>
          <w:numId w:val="1006"/>
        </w:numPr>
      </w:pPr>
      <w:r>
        <w:t xml:space="preserve">قائمة متابعة للأسهم</w:t>
      </w:r>
    </w:p>
    <w:p>
      <w:pPr>
        <w:pStyle w:val="Compact"/>
        <w:numPr>
          <w:ilvl w:val="0"/>
          <w:numId w:val="1006"/>
        </w:numPr>
      </w:pPr>
      <w:r>
        <w:t xml:space="preserve">محفظة مبسطة يمكن أن تحتوي على عدد الأسهم ومتوسط سعر الشراء</w:t>
      </w:r>
    </w:p>
    <w:p>
      <w:pPr>
        <w:pStyle w:val="FirstParagraph"/>
      </w:pPr>
      <w:r>
        <w:t xml:space="preserve">الوظائف الموجودة:</w:t>
      </w:r>
    </w:p>
    <w:p>
      <w:pPr>
        <w:pStyle w:val="Compact"/>
        <w:numPr>
          <w:ilvl w:val="0"/>
          <w:numId w:val="1007"/>
        </w:numPr>
      </w:pPr>
      <w:r>
        <w:t xml:space="preserve">إضافة سهم إلى المحفظة/المتابعة</w:t>
      </w:r>
    </w:p>
    <w:p>
      <w:pPr>
        <w:pStyle w:val="Compact"/>
        <w:numPr>
          <w:ilvl w:val="0"/>
          <w:numId w:val="1007"/>
        </w:numPr>
      </w:pPr>
      <w:r>
        <w:t xml:space="preserve">إزالة سهم من المحفظة/المتابعة</w:t>
      </w:r>
    </w:p>
    <w:p>
      <w:pPr>
        <w:pStyle w:val="Compact"/>
        <w:numPr>
          <w:ilvl w:val="0"/>
          <w:numId w:val="1007"/>
        </w:numPr>
      </w:pPr>
      <w:r>
        <w:t xml:space="preserve">تحميل قائمة المستخدم</w:t>
      </w:r>
    </w:p>
    <w:p>
      <w:pPr>
        <w:pStyle w:val="Compact"/>
        <w:numPr>
          <w:ilvl w:val="0"/>
          <w:numId w:val="1007"/>
        </w:numPr>
      </w:pPr>
      <w:r>
        <w:t xml:space="preserve">فتح صفحة تفاصيل السهم من عناصر القائمة</w:t>
      </w:r>
    </w:p>
    <w:bookmarkEnd w:id="25"/>
    <w:bookmarkStart w:id="26" w:name="التنبيهات"/>
    <w:p>
      <w:pPr>
        <w:pStyle w:val="Heading3"/>
      </w:pPr>
      <w:r>
        <w:t xml:space="preserve">3.5 التنبيهات</w:t>
      </w:r>
    </w:p>
    <w:p>
      <w:pPr>
        <w:pStyle w:val="FirstParagraph"/>
      </w:pPr>
      <w:r>
        <w:t xml:space="preserve">المشروع يدعم نظام تنبيهات للمستخدم عند تغيّر حالة السهم أو تغيّر نسبة التطهير.</w:t>
      </w:r>
    </w:p>
    <w:p>
      <w:pPr>
        <w:pStyle w:val="BodyText"/>
      </w:pPr>
      <w:r>
        <w:t xml:space="preserve">الوظائف الظاهرة:</w:t>
      </w:r>
    </w:p>
    <w:p>
      <w:pPr>
        <w:pStyle w:val="Compact"/>
        <w:numPr>
          <w:ilvl w:val="0"/>
          <w:numId w:val="1008"/>
        </w:numPr>
      </w:pPr>
      <w:r>
        <w:t xml:space="preserve">جلب تنبيهات المستخدم</w:t>
      </w:r>
    </w:p>
    <w:p>
      <w:pPr>
        <w:pStyle w:val="Compact"/>
        <w:numPr>
          <w:ilvl w:val="0"/>
          <w:numId w:val="1008"/>
        </w:numPr>
      </w:pPr>
      <w:r>
        <w:t xml:space="preserve">التمييز بين المقروء وغير المقروء</w:t>
      </w:r>
    </w:p>
    <w:p>
      <w:pPr>
        <w:pStyle w:val="Compact"/>
        <w:numPr>
          <w:ilvl w:val="0"/>
          <w:numId w:val="1008"/>
        </w:numPr>
      </w:pPr>
      <w:r>
        <w:t xml:space="preserve">عرض وقت نسبي</w:t>
      </w:r>
    </w:p>
    <w:p>
      <w:pPr>
        <w:pStyle w:val="Compact"/>
        <w:numPr>
          <w:ilvl w:val="0"/>
          <w:numId w:val="1008"/>
        </w:numPr>
      </w:pPr>
      <w:r>
        <w:t xml:space="preserve">محاولة الانتقال إلى صفحة السهم من التنبيه إذا توفرت بيانات السهم</w:t>
      </w:r>
    </w:p>
    <w:bookmarkEnd w:id="26"/>
    <w:bookmarkStart w:id="27" w:name="الأدوات-المالية-الإسلامية"/>
    <w:p>
      <w:pPr>
        <w:pStyle w:val="Heading3"/>
      </w:pPr>
      <w:r>
        <w:t xml:space="preserve">3.6 الأدوات المالية الإسلامية</w:t>
      </w:r>
    </w:p>
    <w:p>
      <w:pPr>
        <w:pStyle w:val="FirstParagraph"/>
      </w:pPr>
      <w:r>
        <w:t xml:space="preserve">الأدوات المنفذة حاليًا:</w:t>
      </w:r>
    </w:p>
    <w:p>
      <w:pPr>
        <w:pStyle w:val="Compact"/>
        <w:numPr>
          <w:ilvl w:val="0"/>
          <w:numId w:val="1009"/>
        </w:numPr>
      </w:pPr>
      <w:r>
        <w:t xml:space="preserve">حاسبة الزكاة</w:t>
      </w:r>
    </w:p>
    <w:p>
      <w:pPr>
        <w:pStyle w:val="Compact"/>
        <w:numPr>
          <w:ilvl w:val="1"/>
          <w:numId w:val="1010"/>
        </w:numPr>
      </w:pPr>
      <w:r>
        <w:t xml:space="preserve">وضع يدوي</w:t>
      </w:r>
    </w:p>
    <w:p>
      <w:pPr>
        <w:pStyle w:val="Compact"/>
        <w:numPr>
          <w:ilvl w:val="1"/>
          <w:numId w:val="1010"/>
        </w:numPr>
      </w:pPr>
      <w:r>
        <w:t xml:space="preserve">وضع يعتمد على المحفظة</w:t>
      </w:r>
    </w:p>
    <w:p>
      <w:pPr>
        <w:pStyle w:val="Compact"/>
        <w:numPr>
          <w:ilvl w:val="0"/>
          <w:numId w:val="1009"/>
        </w:numPr>
      </w:pPr>
      <w:r>
        <w:t xml:space="preserve">حاسبة DCA</w:t>
      </w:r>
    </w:p>
    <w:p>
      <w:pPr>
        <w:pStyle w:val="Compact"/>
        <w:numPr>
          <w:ilvl w:val="1"/>
          <w:numId w:val="1011"/>
        </w:numPr>
      </w:pPr>
      <w:r>
        <w:t xml:space="preserve">قيمة شهرية</w:t>
      </w:r>
    </w:p>
    <w:p>
      <w:pPr>
        <w:pStyle w:val="Compact"/>
        <w:numPr>
          <w:ilvl w:val="1"/>
          <w:numId w:val="1011"/>
        </w:numPr>
      </w:pPr>
      <w:r>
        <w:t xml:space="preserve">عدد السنوات</w:t>
      </w:r>
    </w:p>
    <w:p>
      <w:pPr>
        <w:pStyle w:val="Compact"/>
        <w:numPr>
          <w:ilvl w:val="1"/>
          <w:numId w:val="1011"/>
        </w:numPr>
      </w:pPr>
      <w:r>
        <w:t xml:space="preserve">نسبة عائد سنوية</w:t>
      </w:r>
    </w:p>
    <w:p>
      <w:pPr>
        <w:pStyle w:val="Compact"/>
        <w:numPr>
          <w:ilvl w:val="1"/>
          <w:numId w:val="1011"/>
        </w:numPr>
      </w:pPr>
      <w:r>
        <w:t xml:space="preserve">نتيجة إجمالية وتفصيل سنوي</w:t>
      </w:r>
    </w:p>
    <w:bookmarkEnd w:id="27"/>
    <w:bookmarkStart w:id="28" w:name="بيانات-السوق-والمؤشرات"/>
    <w:p>
      <w:pPr>
        <w:pStyle w:val="Heading3"/>
      </w:pPr>
      <w:r>
        <w:t xml:space="preserve">3.7 بيانات السوق والمؤشرات</w:t>
      </w:r>
    </w:p>
    <w:p>
      <w:pPr>
        <w:pStyle w:val="FirstParagraph"/>
      </w:pPr>
      <w:r>
        <w:t xml:space="preserve">يحتوي التطبيق على شاشة مخصصة لمؤشرات السوق والمزاج العام:</w:t>
      </w:r>
    </w:p>
    <w:p>
      <w:pPr>
        <w:pStyle w:val="Compact"/>
        <w:numPr>
          <w:ilvl w:val="0"/>
          <w:numId w:val="1012"/>
        </w:numPr>
      </w:pPr>
      <w:r>
        <w:t xml:space="preserve">Fear &amp; Greed Index</w:t>
      </w:r>
    </w:p>
    <w:p>
      <w:pPr>
        <w:pStyle w:val="Compact"/>
        <w:numPr>
          <w:ilvl w:val="0"/>
          <w:numId w:val="1012"/>
        </w:numPr>
      </w:pPr>
      <w:r>
        <w:t xml:space="preserve">مؤشرات سوقية مصنفة إلى فئات</w:t>
      </w:r>
    </w:p>
    <w:p>
      <w:pPr>
        <w:pStyle w:val="Compact"/>
        <w:numPr>
          <w:ilvl w:val="0"/>
          <w:numId w:val="1012"/>
        </w:numPr>
      </w:pPr>
      <w:r>
        <w:t xml:space="preserve">تحديث دوري كل 30 ثانية للمستخدم المميز</w:t>
      </w:r>
    </w:p>
    <w:p>
      <w:pPr>
        <w:pStyle w:val="Compact"/>
        <w:numPr>
          <w:ilvl w:val="0"/>
          <w:numId w:val="1012"/>
        </w:numPr>
      </w:pPr>
      <w:r>
        <w:t xml:space="preserve">تقييد بعض المحتوى للمستخدم المجاني</w:t>
      </w:r>
    </w:p>
    <w:p>
      <w:pPr>
        <w:pStyle w:val="Compact"/>
        <w:numPr>
          <w:ilvl w:val="0"/>
          <w:numId w:val="1012"/>
        </w:numPr>
      </w:pPr>
      <w:r>
        <w:t xml:space="preserve">عرض إعلانات للمستخدم المجاني</w:t>
      </w:r>
    </w:p>
    <w:p>
      <w:pPr>
        <w:pStyle w:val="FirstParagraph"/>
      </w:pPr>
      <w:r>
        <w:t xml:space="preserve">الخلفية توفر:</w:t>
      </w:r>
    </w:p>
    <w:p>
      <w:pPr>
        <w:pStyle w:val="Compact"/>
        <w:numPr>
          <w:ilvl w:val="0"/>
          <w:numId w:val="1013"/>
        </w:numPr>
      </w:pPr>
      <w:r>
        <w:t xml:space="preserve">واجهة Fear and Greed</w:t>
      </w:r>
    </w:p>
    <w:p>
      <w:pPr>
        <w:pStyle w:val="Compact"/>
        <w:numPr>
          <w:ilvl w:val="0"/>
          <w:numId w:val="1013"/>
        </w:numPr>
      </w:pPr>
      <w:r>
        <w:t xml:space="preserve">واجهة المؤشرات</w:t>
      </w:r>
    </w:p>
    <w:p>
      <w:pPr>
        <w:pStyle w:val="Compact"/>
        <w:numPr>
          <w:ilvl w:val="0"/>
          <w:numId w:val="1013"/>
        </w:numPr>
      </w:pPr>
      <w:r>
        <w:t xml:space="preserve">واجهة أسعار الصرف</w:t>
      </w:r>
    </w:p>
    <w:bookmarkEnd w:id="28"/>
    <w:bookmarkStart w:id="29" w:name="الاشتراكات-وتحقيق-الدخل"/>
    <w:p>
      <w:pPr>
        <w:pStyle w:val="Heading3"/>
      </w:pPr>
      <w:r>
        <w:t xml:space="preserve">3.8 الاشتراكات وتحقيق الدخل</w:t>
      </w:r>
    </w:p>
    <w:p>
      <w:pPr>
        <w:pStyle w:val="FirstParagraph"/>
      </w:pPr>
      <w:r>
        <w:t xml:space="preserve">النطاق المالي والتجاري في المشروع يشمل:</w:t>
      </w:r>
    </w:p>
    <w:p>
      <w:pPr>
        <w:pStyle w:val="Compact"/>
        <w:numPr>
          <w:ilvl w:val="0"/>
          <w:numId w:val="1014"/>
        </w:numPr>
      </w:pPr>
      <w:r>
        <w:t xml:space="preserve">خطة مجانية وخطة مميزة Premium</w:t>
      </w:r>
    </w:p>
    <w:p>
      <w:pPr>
        <w:pStyle w:val="Compact"/>
        <w:numPr>
          <w:ilvl w:val="0"/>
          <w:numId w:val="1014"/>
        </w:numPr>
      </w:pPr>
      <w:r>
        <w:t xml:space="preserve">تحميل منتجات الاشتراك من المتجر</w:t>
      </w:r>
    </w:p>
    <w:p>
      <w:pPr>
        <w:pStyle w:val="Compact"/>
        <w:numPr>
          <w:ilvl w:val="0"/>
          <w:numId w:val="1014"/>
        </w:numPr>
      </w:pPr>
      <w:r>
        <w:t xml:space="preserve">اشتراك شهري وسنوي</w:t>
      </w:r>
    </w:p>
    <w:p>
      <w:pPr>
        <w:pStyle w:val="Compact"/>
        <w:numPr>
          <w:ilvl w:val="0"/>
          <w:numId w:val="1014"/>
        </w:numPr>
      </w:pPr>
      <w:r>
        <w:t xml:space="preserve">واجهات ترقية وإلغاء الاشتراك في الخلفية</w:t>
      </w:r>
    </w:p>
    <w:p>
      <w:pPr>
        <w:pStyle w:val="Compact"/>
        <w:numPr>
          <w:ilvl w:val="0"/>
          <w:numId w:val="1014"/>
        </w:numPr>
      </w:pPr>
      <w:r>
        <w:t xml:space="preserve">التحقق من أكواد الخصم</w:t>
      </w:r>
    </w:p>
    <w:p>
      <w:pPr>
        <w:pStyle w:val="Compact"/>
        <w:numPr>
          <w:ilvl w:val="0"/>
          <w:numId w:val="1014"/>
        </w:numPr>
      </w:pPr>
      <w:r>
        <w:t xml:space="preserve">إعلانات موجهة حسب المنطقة</w:t>
      </w:r>
    </w:p>
    <w:bookmarkEnd w:id="29"/>
    <w:bookmarkStart w:id="30" w:name="التخصيص-وتجربة-الاستخدام"/>
    <w:p>
      <w:pPr>
        <w:pStyle w:val="Heading3"/>
      </w:pPr>
      <w:r>
        <w:t xml:space="preserve">3.9 التخصيص وتجربة الاستخدام</w:t>
      </w:r>
    </w:p>
    <w:p>
      <w:pPr>
        <w:pStyle w:val="FirstParagraph"/>
      </w:pPr>
      <w:r>
        <w:t xml:space="preserve">المشروع يدعم:</w:t>
      </w:r>
    </w:p>
    <w:p>
      <w:pPr>
        <w:pStyle w:val="Compact"/>
        <w:numPr>
          <w:ilvl w:val="0"/>
          <w:numId w:val="1015"/>
        </w:numPr>
      </w:pPr>
      <w:r>
        <w:t xml:space="preserve">الوضع الداكن والفاتح</w:t>
      </w:r>
    </w:p>
    <w:p>
      <w:pPr>
        <w:pStyle w:val="Compact"/>
        <w:numPr>
          <w:ilvl w:val="0"/>
          <w:numId w:val="1015"/>
        </w:numPr>
      </w:pPr>
      <w:r>
        <w:t xml:space="preserve">اللغتين العربية والإنجليزية</w:t>
      </w:r>
    </w:p>
    <w:p>
      <w:pPr>
        <w:pStyle w:val="Compact"/>
        <w:numPr>
          <w:ilvl w:val="0"/>
          <w:numId w:val="1015"/>
        </w:numPr>
      </w:pPr>
      <w:r>
        <w:t xml:space="preserve">دعم RTL للعربية</w:t>
      </w:r>
    </w:p>
    <w:p>
      <w:pPr>
        <w:pStyle w:val="Compact"/>
        <w:numPr>
          <w:ilvl w:val="0"/>
          <w:numId w:val="1015"/>
        </w:numPr>
      </w:pPr>
      <w:r>
        <w:t xml:space="preserve">اختيار العملة وتحويل الأسعار</w:t>
      </w:r>
    </w:p>
    <w:p>
      <w:pPr>
        <w:pStyle w:val="Compact"/>
        <w:numPr>
          <w:ilvl w:val="0"/>
          <w:numId w:val="1015"/>
        </w:numPr>
      </w:pPr>
      <w:r>
        <w:t xml:space="preserve">مكونات واجهة متوافقة مع iOS وAndroid</w:t>
      </w:r>
    </w:p>
    <w:bookmarkEnd w:id="30"/>
    <w:bookmarkEnd w:id="31"/>
    <w:bookmarkStart w:id="36" w:name="النطاق-الخلفي-backend-scope"/>
    <w:p>
      <w:pPr>
        <w:pStyle w:val="Heading2"/>
      </w:pPr>
      <w:r>
        <w:t xml:space="preserve">4. النطاق الخلفي Backend Scope</w:t>
      </w:r>
    </w:p>
    <w:bookmarkStart w:id="32" w:name="واجهات-api"/>
    <w:p>
      <w:pPr>
        <w:pStyle w:val="Heading3"/>
      </w:pPr>
      <w:r>
        <w:t xml:space="preserve">4.1 واجهات API</w:t>
      </w:r>
    </w:p>
    <w:p>
      <w:pPr>
        <w:pStyle w:val="FirstParagraph"/>
      </w:pPr>
      <w:r>
        <w:t xml:space="preserve">الخلفية توفر واجهات عامة ومحمية تشمل:</w:t>
      </w:r>
    </w:p>
    <w:p>
      <w:pPr>
        <w:pStyle w:val="Compact"/>
        <w:numPr>
          <w:ilvl w:val="0"/>
          <w:numId w:val="1016"/>
        </w:numPr>
      </w:pPr>
      <w:r>
        <w:t xml:space="preserve">Health check</w:t>
      </w:r>
    </w:p>
    <w:p>
      <w:pPr>
        <w:pStyle w:val="Compact"/>
        <w:numPr>
          <w:ilvl w:val="0"/>
          <w:numId w:val="1016"/>
        </w:numPr>
      </w:pPr>
      <w:r>
        <w:t xml:space="preserve">التسجيل والدخول</w:t>
      </w:r>
    </w:p>
    <w:p>
      <w:pPr>
        <w:pStyle w:val="Compact"/>
        <w:numPr>
          <w:ilvl w:val="0"/>
          <w:numId w:val="1016"/>
        </w:numPr>
      </w:pPr>
      <w:r>
        <w:t xml:space="preserve">البحث</w:t>
      </w:r>
    </w:p>
    <w:p>
      <w:pPr>
        <w:pStyle w:val="Compact"/>
        <w:numPr>
          <w:ilvl w:val="0"/>
          <w:numId w:val="1016"/>
        </w:numPr>
      </w:pPr>
      <w:r>
        <w:t xml:space="preserve">تفاصيل السهم</w:t>
      </w:r>
    </w:p>
    <w:p>
      <w:pPr>
        <w:pStyle w:val="Compact"/>
        <w:numPr>
          <w:ilvl w:val="0"/>
          <w:numId w:val="1016"/>
        </w:numPr>
      </w:pPr>
      <w:r>
        <w:t xml:space="preserve">الأسهم حسب المنطقة</w:t>
      </w:r>
    </w:p>
    <w:p>
      <w:pPr>
        <w:pStyle w:val="Compact"/>
        <w:numPr>
          <w:ilvl w:val="0"/>
          <w:numId w:val="1016"/>
        </w:numPr>
      </w:pPr>
      <w:r>
        <w:t xml:space="preserve">الإعلانات</w:t>
      </w:r>
    </w:p>
    <w:p>
      <w:pPr>
        <w:pStyle w:val="Compact"/>
        <w:numPr>
          <w:ilvl w:val="0"/>
          <w:numId w:val="1016"/>
        </w:numPr>
      </w:pPr>
      <w:r>
        <w:t xml:space="preserve">بيانات السوق</w:t>
      </w:r>
    </w:p>
    <w:p>
      <w:pPr>
        <w:pStyle w:val="Compact"/>
        <w:numPr>
          <w:ilvl w:val="0"/>
          <w:numId w:val="1016"/>
        </w:numPr>
      </w:pPr>
      <w:r>
        <w:t xml:space="preserve">DCA</w:t>
      </w:r>
    </w:p>
    <w:p>
      <w:pPr>
        <w:pStyle w:val="Compact"/>
        <w:numPr>
          <w:ilvl w:val="0"/>
          <w:numId w:val="1016"/>
        </w:numPr>
      </w:pPr>
      <w:r>
        <w:t xml:space="preserve">المحفظة/المتابعة</w:t>
      </w:r>
    </w:p>
    <w:p>
      <w:pPr>
        <w:pStyle w:val="Compact"/>
        <w:numPr>
          <w:ilvl w:val="0"/>
          <w:numId w:val="1016"/>
        </w:numPr>
      </w:pPr>
      <w:r>
        <w:t xml:space="preserve">التنبيهات</w:t>
      </w:r>
    </w:p>
    <w:p>
      <w:pPr>
        <w:pStyle w:val="Compact"/>
        <w:numPr>
          <w:ilvl w:val="0"/>
          <w:numId w:val="1016"/>
        </w:numPr>
      </w:pPr>
      <w:r>
        <w:t xml:space="preserve">الزكاة</w:t>
      </w:r>
    </w:p>
    <w:p>
      <w:pPr>
        <w:pStyle w:val="Compact"/>
        <w:numPr>
          <w:ilvl w:val="0"/>
          <w:numId w:val="1016"/>
        </w:numPr>
      </w:pPr>
      <w:r>
        <w:t xml:space="preserve">التحقق من أكواد الخصم</w:t>
      </w:r>
    </w:p>
    <w:p>
      <w:pPr>
        <w:pStyle w:val="Compact"/>
        <w:numPr>
          <w:ilvl w:val="0"/>
          <w:numId w:val="1016"/>
        </w:numPr>
      </w:pPr>
      <w:r>
        <w:t xml:space="preserve">الترقية والإلغاء للاشتراك</w:t>
      </w:r>
    </w:p>
    <w:bookmarkEnd w:id="32"/>
    <w:bookmarkStart w:id="33" w:name="التخزين-وقاعدة-البيانات"/>
    <w:p>
      <w:pPr>
        <w:pStyle w:val="Heading3"/>
      </w:pPr>
      <w:r>
        <w:t xml:space="preserve">4.2 التخزين وقاعدة البيانات</w:t>
      </w:r>
    </w:p>
    <w:p>
      <w:pPr>
        <w:pStyle w:val="FirstParagraph"/>
      </w:pPr>
      <w:r>
        <w:t xml:space="preserve">قاعدة البيانات الحالية تغطي الجداول الأساسية التالية:</w:t>
      </w:r>
    </w:p>
    <w:p>
      <w:pPr>
        <w:pStyle w:val="Compact"/>
        <w:numPr>
          <w:ilvl w:val="0"/>
          <w:numId w:val="1017"/>
        </w:numPr>
      </w:pPr>
      <w:r>
        <w:rPr>
          <w:rStyle w:val="VerbatimChar"/>
        </w:rPr>
        <w:t xml:space="preserve">users</w:t>
      </w:r>
    </w:p>
    <w:p>
      <w:pPr>
        <w:pStyle w:val="Compact"/>
        <w:numPr>
          <w:ilvl w:val="0"/>
          <w:numId w:val="1017"/>
        </w:numPr>
      </w:pPr>
      <w:r>
        <w:rPr>
          <w:rStyle w:val="VerbatimChar"/>
        </w:rPr>
        <w:t xml:space="preserve">stocks</w:t>
      </w:r>
    </w:p>
    <w:p>
      <w:pPr>
        <w:pStyle w:val="Compact"/>
        <w:numPr>
          <w:ilvl w:val="0"/>
          <w:numId w:val="1017"/>
        </w:numPr>
      </w:pPr>
      <w:r>
        <w:rPr>
          <w:rStyle w:val="VerbatimChar"/>
        </w:rPr>
        <w:t xml:space="preserve">fundamentals</w:t>
      </w:r>
    </w:p>
    <w:p>
      <w:pPr>
        <w:pStyle w:val="Compact"/>
        <w:numPr>
          <w:ilvl w:val="0"/>
          <w:numId w:val="1017"/>
        </w:numPr>
      </w:pPr>
      <w:r>
        <w:rPr>
          <w:rStyle w:val="VerbatimChar"/>
        </w:rPr>
        <w:t xml:space="preserve">shariah_status</w:t>
      </w:r>
    </w:p>
    <w:p>
      <w:pPr>
        <w:pStyle w:val="Compact"/>
        <w:numPr>
          <w:ilvl w:val="0"/>
          <w:numId w:val="1017"/>
        </w:numPr>
      </w:pPr>
      <w:r>
        <w:rPr>
          <w:rStyle w:val="VerbatimChar"/>
        </w:rPr>
        <w:t xml:space="preserve">user_portfolios</w:t>
      </w:r>
    </w:p>
    <w:p>
      <w:pPr>
        <w:pStyle w:val="Compact"/>
        <w:numPr>
          <w:ilvl w:val="0"/>
          <w:numId w:val="1017"/>
        </w:numPr>
      </w:pPr>
      <w:r>
        <w:rPr>
          <w:rStyle w:val="VerbatimChar"/>
        </w:rPr>
        <w:t xml:space="preserve">notifications</w:t>
      </w:r>
    </w:p>
    <w:p>
      <w:pPr>
        <w:pStyle w:val="Compact"/>
        <w:numPr>
          <w:ilvl w:val="0"/>
          <w:numId w:val="1017"/>
        </w:numPr>
      </w:pPr>
      <w:r>
        <w:rPr>
          <w:rStyle w:val="VerbatimChar"/>
        </w:rPr>
        <w:t xml:space="preserve">analyst_ratings</w:t>
      </w:r>
    </w:p>
    <w:p>
      <w:pPr>
        <w:pStyle w:val="Compact"/>
        <w:numPr>
          <w:ilvl w:val="0"/>
          <w:numId w:val="1017"/>
        </w:numPr>
      </w:pPr>
      <w:r>
        <w:rPr>
          <w:rStyle w:val="VerbatimChar"/>
        </w:rPr>
        <w:t xml:space="preserve">ads</w:t>
      </w:r>
    </w:p>
    <w:p>
      <w:pPr>
        <w:pStyle w:val="Compact"/>
        <w:numPr>
          <w:ilvl w:val="0"/>
          <w:numId w:val="1017"/>
        </w:numPr>
      </w:pPr>
      <w:r>
        <w:rPr>
          <w:rStyle w:val="VerbatimChar"/>
        </w:rPr>
        <w:t xml:space="preserve">promo_codes</w:t>
      </w:r>
    </w:p>
    <w:p>
      <w:pPr>
        <w:pStyle w:val="Compact"/>
        <w:numPr>
          <w:ilvl w:val="0"/>
          <w:numId w:val="1017"/>
        </w:numPr>
      </w:pPr>
      <w:r>
        <w:rPr>
          <w:rStyle w:val="VerbatimChar"/>
        </w:rPr>
        <w:t xml:space="preserve">user_promo_usage</w:t>
      </w:r>
    </w:p>
    <w:p>
      <w:pPr>
        <w:pStyle w:val="FirstParagraph"/>
      </w:pPr>
      <w:r>
        <w:t xml:space="preserve">كما توجد migrations إضافية لدعم:</w:t>
      </w:r>
    </w:p>
    <w:p>
      <w:pPr>
        <w:pStyle w:val="Compact"/>
        <w:numPr>
          <w:ilvl w:val="0"/>
          <w:numId w:val="1018"/>
        </w:numPr>
      </w:pPr>
      <w:r>
        <w:t xml:space="preserve">حقول الاشتراك على المستخدم</w:t>
      </w:r>
    </w:p>
    <w:p>
      <w:pPr>
        <w:pStyle w:val="Compact"/>
        <w:numPr>
          <w:ilvl w:val="0"/>
          <w:numId w:val="1018"/>
        </w:numPr>
      </w:pPr>
      <w:r>
        <w:t xml:space="preserve">جداول pipeline ونتائج التتبع التاريخي</w:t>
      </w:r>
    </w:p>
    <w:bookmarkEnd w:id="33"/>
    <w:bookmarkStart w:id="34" w:name="جلب-البيانات-والفحص-الشرعي"/>
    <w:p>
      <w:pPr>
        <w:pStyle w:val="Heading3"/>
      </w:pPr>
      <w:r>
        <w:t xml:space="preserve">4.3 جلب البيانات والفحص الشرعي</w:t>
      </w:r>
    </w:p>
    <w:p>
      <w:pPr>
        <w:pStyle w:val="FirstParagraph"/>
      </w:pPr>
      <w:r>
        <w:t xml:space="preserve">يوجد داخل الخلفية مساران متداخلان:</w:t>
      </w:r>
    </w:p>
    <w:p>
      <w:pPr>
        <w:pStyle w:val="Compact"/>
        <w:numPr>
          <w:ilvl w:val="0"/>
          <w:numId w:val="1019"/>
        </w:numPr>
      </w:pPr>
      <w:r>
        <w:t xml:space="preserve">خدمة ingesting تقليدية مرتبطة مباشرة بالتطبيق</w:t>
      </w:r>
    </w:p>
    <w:p>
      <w:pPr>
        <w:pStyle w:val="Compact"/>
        <w:numPr>
          <w:ilvl w:val="0"/>
          <w:numId w:val="1019"/>
        </w:numPr>
      </w:pPr>
      <w:r>
        <w:t xml:space="preserve">Pipeline أكثر تنظيمًا للإنتاج مع providers متعددة وworker pool</w:t>
      </w:r>
    </w:p>
    <w:p>
      <w:pPr>
        <w:pStyle w:val="FirstParagraph"/>
      </w:pPr>
      <w:r>
        <w:t xml:space="preserve">المهام المنفذة:</w:t>
      </w:r>
    </w:p>
    <w:p>
      <w:pPr>
        <w:pStyle w:val="Compact"/>
        <w:numPr>
          <w:ilvl w:val="0"/>
          <w:numId w:val="1020"/>
        </w:numPr>
      </w:pPr>
      <w:r>
        <w:t xml:space="preserve">جلب قوائم الأسهم حسب المنطقة</w:t>
      </w:r>
    </w:p>
    <w:p>
      <w:pPr>
        <w:pStyle w:val="Compact"/>
        <w:numPr>
          <w:ilvl w:val="0"/>
          <w:numId w:val="1020"/>
        </w:numPr>
      </w:pPr>
      <w:r>
        <w:t xml:space="preserve">جلب البيانات المالية</w:t>
      </w:r>
    </w:p>
    <w:p>
      <w:pPr>
        <w:pStyle w:val="Compact"/>
        <w:numPr>
          <w:ilvl w:val="0"/>
          <w:numId w:val="1020"/>
        </w:numPr>
      </w:pPr>
      <w:r>
        <w:t xml:space="preserve">حفظ الأسهم والبيانات المالية</w:t>
      </w:r>
    </w:p>
    <w:p>
      <w:pPr>
        <w:pStyle w:val="Compact"/>
        <w:numPr>
          <w:ilvl w:val="0"/>
          <w:numId w:val="1020"/>
        </w:numPr>
      </w:pPr>
      <w:r>
        <w:t xml:space="preserve">تشغيل الفحص الشرعي</w:t>
      </w:r>
    </w:p>
    <w:p>
      <w:pPr>
        <w:pStyle w:val="Compact"/>
        <w:numPr>
          <w:ilvl w:val="0"/>
          <w:numId w:val="1020"/>
        </w:numPr>
      </w:pPr>
      <w:r>
        <w:t xml:space="preserve">تحديث الحالة الشرعية الحالية</w:t>
      </w:r>
    </w:p>
    <w:p>
      <w:pPr>
        <w:pStyle w:val="Compact"/>
        <w:numPr>
          <w:ilvl w:val="0"/>
          <w:numId w:val="1020"/>
        </w:numPr>
      </w:pPr>
      <w:r>
        <w:t xml:space="preserve">إنشاء تنبيهات عند التغيّر المهم</w:t>
      </w:r>
    </w:p>
    <w:bookmarkEnd w:id="34"/>
    <w:bookmarkStart w:id="35" w:name="مزودات-البيانات-الخارجية"/>
    <w:p>
      <w:pPr>
        <w:pStyle w:val="Heading3"/>
      </w:pPr>
      <w:r>
        <w:t xml:space="preserve">4.4 مزودات البيانات الخارجية</w:t>
      </w:r>
    </w:p>
    <w:p>
      <w:pPr>
        <w:pStyle w:val="FirstParagraph"/>
      </w:pPr>
      <w:r>
        <w:t xml:space="preserve">المشروع يحتوي على دعم أو آثار دعم لعدة مزودات:</w:t>
      </w:r>
    </w:p>
    <w:p>
      <w:pPr>
        <w:pStyle w:val="Compact"/>
        <w:numPr>
          <w:ilvl w:val="0"/>
          <w:numId w:val="1021"/>
        </w:numPr>
      </w:pPr>
      <w:r>
        <w:t xml:space="preserve">FMP</w:t>
      </w:r>
    </w:p>
    <w:p>
      <w:pPr>
        <w:pStyle w:val="Compact"/>
        <w:numPr>
          <w:ilvl w:val="0"/>
          <w:numId w:val="1021"/>
        </w:numPr>
      </w:pPr>
      <w:r>
        <w:t xml:space="preserve">Alpha Vantage</w:t>
      </w:r>
    </w:p>
    <w:p>
      <w:pPr>
        <w:pStyle w:val="Compact"/>
        <w:numPr>
          <w:ilvl w:val="0"/>
          <w:numId w:val="1021"/>
        </w:numPr>
      </w:pPr>
      <w:r>
        <w:t xml:space="preserve">DataJockey</w:t>
      </w:r>
    </w:p>
    <w:p>
      <w:pPr>
        <w:pStyle w:val="Compact"/>
        <w:numPr>
          <w:ilvl w:val="0"/>
          <w:numId w:val="1021"/>
        </w:numPr>
      </w:pPr>
      <w:r>
        <w:t xml:space="preserve">EODHD</w:t>
      </w:r>
    </w:p>
    <w:p>
      <w:pPr>
        <w:pStyle w:val="FirstParagraph"/>
      </w:pPr>
      <w:r>
        <w:t xml:space="preserve">اختيار المزود يعتمد على الإعدادات البيئية، ويبدو أن المشروع مرّ بعدة مراحل تطور في هذا الجانب.</w:t>
      </w:r>
    </w:p>
    <w:bookmarkEnd w:id="35"/>
    <w:bookmarkEnd w:id="36"/>
    <w:bookmarkStart w:id="39" w:name="نطاق-منطق-الأعمال-business-logic"/>
    <w:p>
      <w:pPr>
        <w:pStyle w:val="Heading2"/>
      </w:pPr>
      <w:r>
        <w:t xml:space="preserve">5. نطاق منطق الأعمال Business Logic</w:t>
      </w:r>
    </w:p>
    <w:bookmarkStart w:id="37" w:name="محرك-الفحص-الشرعي"/>
    <w:p>
      <w:pPr>
        <w:pStyle w:val="Heading3"/>
      </w:pPr>
      <w:r>
        <w:t xml:space="preserve">5.1 محرك الفحص الشرعي</w:t>
      </w:r>
    </w:p>
    <w:p>
      <w:pPr>
        <w:pStyle w:val="FirstParagraph"/>
      </w:pPr>
      <w:r>
        <w:t xml:space="preserve">المنطق الحالي يغطي:</w:t>
      </w:r>
    </w:p>
    <w:p>
      <w:pPr>
        <w:pStyle w:val="Compact"/>
        <w:numPr>
          <w:ilvl w:val="0"/>
          <w:numId w:val="1022"/>
        </w:numPr>
      </w:pPr>
      <w:r>
        <w:t xml:space="preserve">فحص النشاط والقطاع والكلمات المفتاحية المحرمة</w:t>
      </w:r>
    </w:p>
    <w:p>
      <w:pPr>
        <w:pStyle w:val="Compact"/>
        <w:numPr>
          <w:ilvl w:val="0"/>
          <w:numId w:val="1022"/>
        </w:numPr>
      </w:pPr>
      <w:r>
        <w:t xml:space="preserve">فحص النسب المالية</w:t>
      </w:r>
    </w:p>
    <w:p>
      <w:pPr>
        <w:pStyle w:val="Compact"/>
        <w:numPr>
          <w:ilvl w:val="0"/>
          <w:numId w:val="1022"/>
        </w:numPr>
      </w:pPr>
      <w:r>
        <w:t xml:space="preserve">منح درجة شرعية</w:t>
      </w:r>
    </w:p>
    <w:p>
      <w:pPr>
        <w:pStyle w:val="Compact"/>
        <w:numPr>
          <w:ilvl w:val="0"/>
          <w:numId w:val="1022"/>
        </w:numPr>
      </w:pPr>
      <w:r>
        <w:t xml:space="preserve">حساب نسبة التطهير</w:t>
      </w:r>
    </w:p>
    <w:p>
      <w:pPr>
        <w:pStyle w:val="Compact"/>
        <w:numPr>
          <w:ilvl w:val="0"/>
          <w:numId w:val="1022"/>
        </w:numPr>
      </w:pPr>
      <w:r>
        <w:t xml:space="preserve">تحديد ما إذا كان السهم يدخل في حساب الزكاة</w:t>
      </w:r>
    </w:p>
    <w:p>
      <w:pPr>
        <w:pStyle w:val="FirstParagraph"/>
      </w:pPr>
      <w:r>
        <w:t xml:space="preserve">لكن توجد نقطة مهمة جدًا:</w:t>
      </w:r>
    </w:p>
    <w:p>
      <w:pPr>
        <w:pStyle w:val="BodyText"/>
      </w:pPr>
      <w:r>
        <w:t xml:space="preserve">يوجد محركان مختلفان للفحص الشرعي داخل المشروع:</w:t>
      </w:r>
    </w:p>
    <w:p>
      <w:pPr>
        <w:pStyle w:val="BodyText"/>
      </w:pPr>
      <w:r>
        <w:t xml:space="preserve">وهذا يعني أن المشروع، في وضعه الحالي، قد ينتج حالات أو درجات مختلفة بحسب المسار المستخدم.</w:t>
      </w:r>
    </w:p>
    <w:bookmarkEnd w:id="37"/>
    <w:bookmarkStart w:id="38" w:name="صلاحيات-الخطة-المميزة"/>
    <w:p>
      <w:pPr>
        <w:pStyle w:val="Heading3"/>
      </w:pPr>
      <w:r>
        <w:t xml:space="preserve">5.2 صلاحيات الخطة المميزة</w:t>
      </w:r>
    </w:p>
    <w:p>
      <w:pPr>
        <w:pStyle w:val="FirstParagraph"/>
      </w:pPr>
      <w:r>
        <w:t xml:space="preserve">الخطة المميزة تؤثر حاليًا على:</w:t>
      </w:r>
    </w:p>
    <w:p>
      <w:pPr>
        <w:pStyle w:val="Compact"/>
        <w:numPr>
          <w:ilvl w:val="0"/>
          <w:numId w:val="1023"/>
        </w:numPr>
      </w:pPr>
      <w:r>
        <w:t xml:space="preserve">عدد نتائج البحث الظاهرة للمستخدم المجاني</w:t>
      </w:r>
    </w:p>
    <w:p>
      <w:pPr>
        <w:pStyle w:val="Compact"/>
        <w:numPr>
          <w:ilvl w:val="0"/>
          <w:numId w:val="1023"/>
        </w:numPr>
      </w:pPr>
      <w:r>
        <w:t xml:space="preserve">ظهور الإعلانات للمستخدم المجاني</w:t>
      </w:r>
    </w:p>
    <w:p>
      <w:pPr>
        <w:pStyle w:val="Compact"/>
        <w:numPr>
          <w:ilvl w:val="0"/>
          <w:numId w:val="1023"/>
        </w:numPr>
      </w:pPr>
      <w:r>
        <w:t xml:space="preserve">إظهار مؤشرات إضافية للمستخدم المميز</w:t>
      </w:r>
    </w:p>
    <w:p>
      <w:pPr>
        <w:pStyle w:val="Compact"/>
        <w:numPr>
          <w:ilvl w:val="0"/>
          <w:numId w:val="1023"/>
        </w:numPr>
      </w:pPr>
      <w:r>
        <w:t xml:space="preserve">التحديث الدوري لبيانات السوق</w:t>
      </w:r>
    </w:p>
    <w:p>
      <w:pPr>
        <w:pStyle w:val="FirstParagraph"/>
      </w:pPr>
      <w:r>
        <w:t xml:space="preserve">هذا التقييد موجود غالبًا في التطبيق نفسه أكثر من الخلفية.</w:t>
      </w:r>
    </w:p>
    <w:bookmarkEnd w:id="38"/>
    <w:bookmarkEnd w:id="39"/>
    <w:bookmarkStart w:id="42" w:name="النطاق-التقني-والمنصات"/>
    <w:p>
      <w:pPr>
        <w:pStyle w:val="Heading2"/>
      </w:pPr>
      <w:r>
        <w:t xml:space="preserve">6. النطاق التقني والمنصات</w:t>
      </w:r>
    </w:p>
    <w:bookmarkStart w:id="40" w:name="المنصات-المدعومة"/>
    <w:p>
      <w:pPr>
        <w:pStyle w:val="Heading3"/>
      </w:pPr>
      <w:r>
        <w:t xml:space="preserve">6.1 المنصات المدعومة</w:t>
      </w:r>
    </w:p>
    <w:p>
      <w:pPr>
        <w:pStyle w:val="FirstParagraph"/>
      </w:pPr>
      <w:r>
        <w:t xml:space="preserve">المشروع يحتوي أهداف Flutter التالية:</w:t>
      </w:r>
    </w:p>
    <w:p>
      <w:pPr>
        <w:pStyle w:val="Compact"/>
        <w:numPr>
          <w:ilvl w:val="0"/>
          <w:numId w:val="1024"/>
        </w:numPr>
      </w:pPr>
      <w:r>
        <w:t xml:space="preserve">Android</w:t>
      </w:r>
    </w:p>
    <w:p>
      <w:pPr>
        <w:pStyle w:val="Compact"/>
        <w:numPr>
          <w:ilvl w:val="0"/>
          <w:numId w:val="1024"/>
        </w:numPr>
      </w:pPr>
      <w:r>
        <w:t xml:space="preserve">iOS</w:t>
      </w:r>
    </w:p>
    <w:p>
      <w:pPr>
        <w:pStyle w:val="Compact"/>
        <w:numPr>
          <w:ilvl w:val="0"/>
          <w:numId w:val="1024"/>
        </w:numPr>
      </w:pPr>
      <w:r>
        <w:t xml:space="preserve">Web</w:t>
      </w:r>
    </w:p>
    <w:p>
      <w:pPr>
        <w:pStyle w:val="Compact"/>
        <w:numPr>
          <w:ilvl w:val="0"/>
          <w:numId w:val="1024"/>
        </w:numPr>
      </w:pPr>
      <w:r>
        <w:t xml:space="preserve">macOS</w:t>
      </w:r>
    </w:p>
    <w:p>
      <w:pPr>
        <w:pStyle w:val="Compact"/>
        <w:numPr>
          <w:ilvl w:val="0"/>
          <w:numId w:val="1024"/>
        </w:numPr>
      </w:pPr>
      <w:r>
        <w:t xml:space="preserve">Linux</w:t>
      </w:r>
    </w:p>
    <w:p>
      <w:pPr>
        <w:pStyle w:val="Compact"/>
        <w:numPr>
          <w:ilvl w:val="0"/>
          <w:numId w:val="1024"/>
        </w:numPr>
      </w:pPr>
      <w:r>
        <w:t xml:space="preserve">Windows</w:t>
      </w:r>
    </w:p>
    <w:bookmarkEnd w:id="40"/>
    <w:bookmarkStart w:id="41" w:name="النشر-والاستضافة"/>
    <w:p>
      <w:pPr>
        <w:pStyle w:val="Heading3"/>
      </w:pPr>
      <w:r>
        <w:t xml:space="preserve">6.2 النشر والاستضافة</w:t>
      </w:r>
    </w:p>
    <w:p>
      <w:pPr>
        <w:pStyle w:val="FirstParagraph"/>
      </w:pPr>
      <w:r>
        <w:t xml:space="preserve">توجد ملفات تشير إلى أن الخلفية مهيأة للنشر على Railway:</w:t>
      </w:r>
    </w:p>
    <w:p>
      <w:pPr>
        <w:pStyle w:val="Compact"/>
        <w:numPr>
          <w:ilvl w:val="0"/>
          <w:numId w:val="1025"/>
        </w:numPr>
      </w:pPr>
      <w:r>
        <w:t xml:space="preserve">إعدادات نشر مبنية على Railway</w:t>
      </w:r>
    </w:p>
    <w:p>
      <w:pPr>
        <w:pStyle w:val="Compact"/>
        <w:numPr>
          <w:ilvl w:val="0"/>
          <w:numId w:val="1025"/>
        </w:numPr>
      </w:pPr>
      <w:r>
        <w:t xml:space="preserve">إعدادات حاويات للتشغيل في بيئة الاستضافة</w:t>
      </w:r>
    </w:p>
    <w:p>
      <w:pPr>
        <w:pStyle w:val="FirstParagraph"/>
      </w:pPr>
      <w:r>
        <w:t xml:space="preserve">كما أن التطبيق مهيأ افتراضيًا للاتصال بعنوان Railway منشور:</w:t>
      </w:r>
      <w:r>
        <w:t xml:space="preserve"> </w:t>
      </w:r>
      <w:r>
        <w:t xml:space="preserve">- ويحتوي على تهيئة مباشرة لعنوان API منشور</w:t>
      </w:r>
    </w:p>
    <w:bookmarkEnd w:id="41"/>
    <w:bookmarkEnd w:id="42"/>
    <w:bookmarkStart w:id="43" w:name="النطاق-التشغيلي-والوثائقي"/>
    <w:p>
      <w:pPr>
        <w:pStyle w:val="Heading2"/>
      </w:pPr>
      <w:r>
        <w:t xml:space="preserve">7. النطاق التشغيلي والوثائقي</w:t>
      </w:r>
    </w:p>
    <w:p>
      <w:pPr>
        <w:pStyle w:val="FirstParagraph"/>
      </w:pPr>
      <w:r>
        <w:t xml:space="preserve">المستودع يحتوي على وثائق تشغيلية كثيرة تشمل:</w:t>
      </w:r>
    </w:p>
    <w:p>
      <w:pPr>
        <w:pStyle w:val="Compact"/>
        <w:numPr>
          <w:ilvl w:val="0"/>
          <w:numId w:val="1026"/>
        </w:numPr>
      </w:pPr>
      <w:r>
        <w:t xml:space="preserve">الإعداد الأولي</w:t>
      </w:r>
    </w:p>
    <w:p>
      <w:pPr>
        <w:pStyle w:val="Compact"/>
        <w:numPr>
          <w:ilvl w:val="0"/>
          <w:numId w:val="1026"/>
        </w:numPr>
      </w:pPr>
      <w:r>
        <w:t xml:space="preserve">التشغيل السريع</w:t>
      </w:r>
    </w:p>
    <w:p>
      <w:pPr>
        <w:pStyle w:val="Compact"/>
        <w:numPr>
          <w:ilvl w:val="0"/>
          <w:numId w:val="1026"/>
        </w:numPr>
      </w:pPr>
      <w:r>
        <w:t xml:space="preserve">إعداد iOS</w:t>
      </w:r>
    </w:p>
    <w:p>
      <w:pPr>
        <w:pStyle w:val="Compact"/>
        <w:numPr>
          <w:ilvl w:val="0"/>
          <w:numId w:val="1026"/>
        </w:numPr>
      </w:pPr>
      <w:r>
        <w:t xml:space="preserve">فحص ingestion</w:t>
      </w:r>
    </w:p>
    <w:p>
      <w:pPr>
        <w:pStyle w:val="Compact"/>
        <w:numPr>
          <w:ilvl w:val="0"/>
          <w:numId w:val="1026"/>
        </w:numPr>
      </w:pPr>
      <w:r>
        <w:t xml:space="preserve">حالة الفحص الشرعي</w:t>
      </w:r>
    </w:p>
    <w:p>
      <w:pPr>
        <w:pStyle w:val="Compact"/>
        <w:numPr>
          <w:ilvl w:val="0"/>
          <w:numId w:val="1026"/>
        </w:numPr>
      </w:pPr>
      <w:r>
        <w:t xml:space="preserve">التبديل بين مزودات API</w:t>
      </w:r>
    </w:p>
    <w:p>
      <w:pPr>
        <w:pStyle w:val="Compact"/>
        <w:numPr>
          <w:ilvl w:val="0"/>
          <w:numId w:val="1026"/>
        </w:numPr>
      </w:pPr>
      <w:r>
        <w:t xml:space="preserve">بنية الـ pipeline</w:t>
      </w:r>
    </w:p>
    <w:p>
      <w:pPr>
        <w:pStyle w:val="Compact"/>
        <w:numPr>
          <w:ilvl w:val="0"/>
          <w:numId w:val="1026"/>
        </w:numPr>
      </w:pPr>
      <w:r>
        <w:t xml:space="preserve">إعداد IAP</w:t>
      </w:r>
    </w:p>
    <w:p>
      <w:pPr>
        <w:pStyle w:val="FirstParagraph"/>
      </w:pPr>
      <w:r>
        <w:t xml:space="preserve">هذا يدل على أن نطاق المشروع لا يقتصر على الكود، بل يشمل أيضًا العمليات التشغيلية والاعتمادية.</w:t>
      </w:r>
    </w:p>
    <w:bookmarkEnd w:id="43"/>
    <w:bookmarkStart w:id="45" w:name="تقييم-الحالة-الحالية-للمشروع"/>
    <w:p>
      <w:pPr>
        <w:pStyle w:val="Heading2"/>
      </w:pPr>
      <w:r>
        <w:t xml:space="preserve">8. تقييم الحالة الحالية للمشروع</w:t>
      </w:r>
    </w:p>
    <w:bookmarkStart w:id="44" w:name="ما-هو-منفذ-بوضوح"/>
    <w:p>
      <w:pPr>
        <w:pStyle w:val="Heading3"/>
      </w:pPr>
      <w:r>
        <w:t xml:space="preserve">8.1 ما هو منفذ بوضوح</w:t>
      </w:r>
    </w:p>
    <w:p>
      <w:pPr>
        <w:pStyle w:val="Compact"/>
        <w:numPr>
          <w:ilvl w:val="0"/>
          <w:numId w:val="1027"/>
        </w:numPr>
      </w:pPr>
      <w:r>
        <w:t xml:space="preserve">نظام تسجيل ودخول متكامل</w:t>
      </w:r>
    </w:p>
    <w:p>
      <w:pPr>
        <w:pStyle w:val="Compact"/>
        <w:numPr>
          <w:ilvl w:val="0"/>
          <w:numId w:val="1027"/>
        </w:numPr>
      </w:pPr>
      <w:r>
        <w:t xml:space="preserve">اكتشاف الأسهم حسب المنطقة والبحث</w:t>
      </w:r>
    </w:p>
    <w:p>
      <w:pPr>
        <w:pStyle w:val="Compact"/>
        <w:numPr>
          <w:ilvl w:val="0"/>
          <w:numId w:val="1027"/>
        </w:numPr>
      </w:pPr>
      <w:r>
        <w:t xml:space="preserve">صفحة تفاصيل سهم مع ناتج شرعي</w:t>
      </w:r>
    </w:p>
    <w:p>
      <w:pPr>
        <w:pStyle w:val="Compact"/>
        <w:numPr>
          <w:ilvl w:val="0"/>
          <w:numId w:val="1027"/>
        </w:numPr>
      </w:pPr>
      <w:r>
        <w:t xml:space="preserve">متابعة/محفظة</w:t>
      </w:r>
    </w:p>
    <w:p>
      <w:pPr>
        <w:pStyle w:val="Compact"/>
        <w:numPr>
          <w:ilvl w:val="0"/>
          <w:numId w:val="1027"/>
        </w:numPr>
      </w:pPr>
      <w:r>
        <w:t xml:space="preserve">أدوات الزكاة وDCA</w:t>
      </w:r>
    </w:p>
    <w:p>
      <w:pPr>
        <w:pStyle w:val="Compact"/>
        <w:numPr>
          <w:ilvl w:val="0"/>
          <w:numId w:val="1027"/>
        </w:numPr>
      </w:pPr>
      <w:r>
        <w:t xml:space="preserve">شاشة بيانات السوق والمؤشرات</w:t>
      </w:r>
    </w:p>
    <w:p>
      <w:pPr>
        <w:pStyle w:val="Compact"/>
        <w:numPr>
          <w:ilvl w:val="0"/>
          <w:numId w:val="1027"/>
        </w:numPr>
      </w:pPr>
      <w:r>
        <w:t xml:space="preserve">تخصيص اللغة والثيم والعملات</w:t>
      </w:r>
    </w:p>
    <w:p>
      <w:pPr>
        <w:pStyle w:val="Compact"/>
        <w:numPr>
          <w:ilvl w:val="0"/>
          <w:numId w:val="1027"/>
        </w:numPr>
      </w:pPr>
      <w:r>
        <w:t xml:space="preserve">واجهات الاشتراك والشراء داخل التطبيق</w:t>
      </w:r>
    </w:p>
    <w:p>
      <w:pPr>
        <w:pStyle w:val="Compact"/>
        <w:numPr>
          <w:ilvl w:val="0"/>
          <w:numId w:val="1027"/>
        </w:numPr>
      </w:pPr>
      <w:r>
        <w:t xml:space="preserve">الإعلانات وأكواد الخصم</w:t>
      </w:r>
    </w:p>
    <w:p>
      <w:pPr>
        <w:pStyle w:val="Compact"/>
        <w:numPr>
          <w:ilvl w:val="0"/>
          <w:numId w:val="1027"/>
        </w:numPr>
      </w:pPr>
      <w:r>
        <w:t xml:space="preserve">خطوط ingesting وفحص شرعي في الخلفية</w:t>
      </w:r>
    </w:p>
    <w:bookmarkEnd w:id="44"/>
    <w:bookmarkEnd w:id="45"/>
    <w:bookmarkStart w:id="46" w:name="الصياغة-النهائية-لنطاق-المشروع"/>
    <w:p>
      <w:pPr>
        <w:pStyle w:val="Heading2"/>
      </w:pPr>
      <w:r>
        <w:t xml:space="preserve">9. الصياغة النهائية لنطاق المشروع</w:t>
      </w:r>
    </w:p>
    <w:p>
      <w:pPr>
        <w:pStyle w:val="FirstParagraph"/>
      </w:pPr>
      <w:r>
        <w:t xml:space="preserve">بصورة عملية، يمكن تعريف نطاق HalalStocks بأنه:</w:t>
      </w:r>
    </w:p>
    <w:p>
      <w:pPr>
        <w:pStyle w:val="Compact"/>
        <w:numPr>
          <w:ilvl w:val="0"/>
          <w:numId w:val="1028"/>
        </w:numPr>
      </w:pPr>
      <w:r>
        <w:t xml:space="preserve">منصة استثمار إسلامي موجهة للمستخدم النهائي</w:t>
      </w:r>
    </w:p>
    <w:p>
      <w:pPr>
        <w:pStyle w:val="Compact"/>
        <w:numPr>
          <w:ilvl w:val="0"/>
          <w:numId w:val="1028"/>
        </w:numPr>
      </w:pPr>
      <w:r>
        <w:t xml:space="preserve">تجمع بين اكتشاف الأسهم والتحليل الشرعي</w:t>
      </w:r>
    </w:p>
    <w:p>
      <w:pPr>
        <w:pStyle w:val="Compact"/>
        <w:numPr>
          <w:ilvl w:val="0"/>
          <w:numId w:val="1028"/>
        </w:numPr>
      </w:pPr>
      <w:r>
        <w:t xml:space="preserve">توفر متابعة شخصية للأسهم والتنبيهات</w:t>
      </w:r>
    </w:p>
    <w:p>
      <w:pPr>
        <w:pStyle w:val="Compact"/>
        <w:numPr>
          <w:ilvl w:val="0"/>
          <w:numId w:val="1028"/>
        </w:numPr>
      </w:pPr>
      <w:r>
        <w:t xml:space="preserve">تقدم أدوات مالية إسلامية عملية</w:t>
      </w:r>
    </w:p>
    <w:p>
      <w:pPr>
        <w:pStyle w:val="Compact"/>
        <w:numPr>
          <w:ilvl w:val="0"/>
          <w:numId w:val="1028"/>
        </w:numPr>
      </w:pPr>
      <w:r>
        <w:t xml:space="preserve">تعرض بيانات السوق والمؤشرات</w:t>
      </w:r>
    </w:p>
    <w:p>
      <w:pPr>
        <w:pStyle w:val="Compact"/>
        <w:numPr>
          <w:ilvl w:val="0"/>
          <w:numId w:val="1028"/>
        </w:numPr>
      </w:pPr>
      <w:r>
        <w:t xml:space="preserve">تحتوي على نموذج اشتراك وإعلانات وأكواد خصم</w:t>
      </w:r>
    </w:p>
    <w:p>
      <w:pPr>
        <w:pStyle w:val="Compact"/>
        <w:numPr>
          <w:ilvl w:val="0"/>
          <w:numId w:val="1028"/>
        </w:numPr>
      </w:pPr>
      <w:r>
        <w:t xml:space="preserve">تعمل عبر تطبيق Flutter متعدد المنصات</w:t>
      </w:r>
    </w:p>
    <w:p>
      <w:pPr>
        <w:pStyle w:val="Compact"/>
        <w:numPr>
          <w:ilvl w:val="0"/>
          <w:numId w:val="1028"/>
        </w:numPr>
      </w:pPr>
      <w:r>
        <w:t xml:space="preserve">تعتمد على Backend بلغة Go وقاعدة PostgreSQL ومسار ingesting/screening</w:t>
      </w:r>
    </w:p>
    <w:p>
      <w:pPr>
        <w:pStyle w:val="FirstParagraph"/>
      </w:pPr>
      <w:r>
        <w:t xml:space="preserve">وبالتالي فالمشروع أكبر من</w:t>
      </w:r>
      <w:r>
        <w:t xml:space="preserve"> </w:t>
      </w:r>
      <w:r>
        <w:t xml:space="preserve">“ماسح أسهم حلال”</w:t>
      </w:r>
      <w:r>
        <w:t xml:space="preserve"> </w:t>
      </w:r>
      <w:r>
        <w:t xml:space="preserve">بسيط؛ هو أساس منتج متكامل يغطي البيانات، الفحص، تجربة المستخدم، التخصيص، الأدوات، وتحقيق الدخل. لكن في الوقت نفسه ما زال في مرحلة تطوير غير مكتملة بالكامل، مع وجود أجزاء جاهزة للإنتاج وأجزاء أخرى تحتاج توحيدًا وتحسينًا قبل اعتبار النظام متماسكًا بالكامل.</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2026-03-16T05:46:58Z</dcterms:created>
  <dcterms:modified xsi:type="dcterms:W3CDTF">2026-03-16T05:46:58Z</dcterms:modified>
</cp:coreProperties>
</file>

<file path=docProps/custom.xml><?xml version="1.0" encoding="utf-8"?>
<Properties xmlns="http://schemas.openxmlformats.org/officeDocument/2006/custom-properties" xmlns:vt="http://schemas.openxmlformats.org/officeDocument/2006/docPropsVTypes"/>
</file>