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r>
        <w:t>YÖNTE</w:t>
      </w:r>
      <w:r w:rsidR="00762187">
        <w:t>M</w:t>
      </w:r>
    </w:p>
    <w:p w:rsidR="00F25EA8" w:rsidRDefault="00F25EA8" w:rsidP="00F25EA8"/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>. The</w:t>
      </w:r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762187">
      <w:proofErr w:type="gramStart"/>
      <w:r>
        <w:t>2004;37:277</w:t>
      </w:r>
      <w:proofErr w:type="gramEnd"/>
      <w:r>
        <w:t>-85.)</w:t>
      </w:r>
      <w:bookmarkStart w:id="0" w:name="_GoBack"/>
      <w:bookmarkEnd w:id="0"/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762187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0CB7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3</cp:revision>
  <dcterms:created xsi:type="dcterms:W3CDTF">2019-04-24T09:57:00Z</dcterms:created>
  <dcterms:modified xsi:type="dcterms:W3CDTF">2020-01-25T10:43:00Z</dcterms:modified>
</cp:coreProperties>
</file>