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2C" w:rsidRPr="000E5C38" w:rsidRDefault="00DA442C" w:rsidP="00AE4C80">
      <w:pPr>
        <w:pStyle w:val="AralkYok"/>
        <w:rPr>
          <w:rFonts w:ascii="Times New Roman" w:hAnsi="Times New Roman" w:cs="Times New Roman"/>
          <w:sz w:val="20"/>
          <w:szCs w:val="20"/>
        </w:rPr>
      </w:pPr>
    </w:p>
    <w:p w:rsidR="00AE4C80" w:rsidRPr="000E5C38" w:rsidRDefault="00AE4C80" w:rsidP="00AE4C80">
      <w:pPr>
        <w:pStyle w:val="AralkYok"/>
        <w:rPr>
          <w:rFonts w:ascii="Times New Roman" w:hAnsi="Times New Roman" w:cs="Times New Roman"/>
          <w:sz w:val="20"/>
          <w:szCs w:val="20"/>
        </w:rPr>
      </w:pPr>
    </w:p>
    <w:p w:rsidR="00AE4C80" w:rsidRPr="000E5C38" w:rsidRDefault="00AE4C80" w:rsidP="00AE4C80">
      <w:pPr>
        <w:pStyle w:val="AralkYok"/>
        <w:rPr>
          <w:rFonts w:ascii="Times New Roman" w:hAnsi="Times New Roman" w:cs="Times New Roman"/>
          <w:sz w:val="20"/>
          <w:szCs w:val="20"/>
        </w:rPr>
      </w:pPr>
    </w:p>
    <w:p w:rsidR="00AE4C80" w:rsidRPr="000E5C38" w:rsidRDefault="00AE4C80" w:rsidP="00AE4C80">
      <w:pPr>
        <w:pStyle w:val="AralkYok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0E5C3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AST</w:t>
      </w:r>
    </w:p>
    <w:p w:rsidR="000E5C38" w:rsidRPr="00AE4C80" w:rsidRDefault="000E5C38" w:rsidP="00AE4C80">
      <w:pPr>
        <w:pStyle w:val="AralkYok"/>
        <w:rPr>
          <w:rFonts w:ascii="Times New Roman" w:hAnsi="Times New Roman" w:cs="Times New Roman"/>
          <w:sz w:val="20"/>
          <w:szCs w:val="20"/>
        </w:rPr>
      </w:pPr>
    </w:p>
    <w:p w:rsidR="00AE4C80" w:rsidRPr="00AE4C80" w:rsidRDefault="00AE4C80" w:rsidP="00AE4C80">
      <w:pPr>
        <w:rPr>
          <w:rFonts w:ascii="Times New Roman" w:hAnsi="Times New Roman" w:cs="Times New Roman"/>
          <w:sz w:val="20"/>
          <w:szCs w:val="20"/>
        </w:rPr>
      </w:pPr>
      <w:r w:rsidRPr="00AE4C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4C80">
        <w:rPr>
          <w:rFonts w:ascii="Times New Roman" w:hAnsi="Times New Roman" w:cs="Times New Roman"/>
          <w:b/>
          <w:bCs/>
          <w:sz w:val="20"/>
          <w:szCs w:val="20"/>
        </w:rPr>
        <w:t>Summary</w:t>
      </w:r>
      <w:proofErr w:type="spellEnd"/>
      <w:r w:rsidRPr="00AE4C8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:rsidR="00AE4C80" w:rsidRPr="000E5C38" w:rsidRDefault="00AE4C80" w:rsidP="00AE4C8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Aspartate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aminotransferase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glutamate-oxaloacetate-transaminase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belongs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transaminases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catalyze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interconversion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amino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keto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transfer of amino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Aspartate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aminotransferase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commonly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human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tissue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heart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muscle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enzyme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has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seen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brain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liver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gastric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mucosa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adipose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tissue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skeletal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muscle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kidneys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AST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cytoplasm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mitochondria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cells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cases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involving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mild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tissue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predominant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form of AST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cytoplasm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smaller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mitochondria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Severe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tissue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damage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mitochondrial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enzyme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released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Elevated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transaminases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signal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myocardial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infarction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hepatic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muscular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dystrophy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organ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damage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International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Federation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Clinical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Chemistry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(IFCC)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recommended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1977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1980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standardized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procedures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AST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determination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substrate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concentrations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employment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TRIS*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buffers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preincubation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combined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buffer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serum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allow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NADH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occur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substrate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start,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optional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pyridoxal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phosphate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activation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2002 the IFCC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confirmed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extend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37°C.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derived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IFCC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*TRIS =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hydroxymethyl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)-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aminomethane</w:t>
      </w:r>
      <w:proofErr w:type="spellEnd"/>
    </w:p>
    <w:p w:rsidR="00AE4C80" w:rsidRPr="000E5C38" w:rsidRDefault="000E5C38" w:rsidP="00AE4C80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0E5C3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ALT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b/>
          <w:bCs/>
          <w:sz w:val="20"/>
          <w:szCs w:val="20"/>
        </w:rPr>
        <w:t>Summary</w:t>
      </w:r>
      <w:proofErr w:type="spellEnd"/>
      <w:r w:rsidRPr="000E5C38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Alanine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aminotransferase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glutamate-pyruvate-transaminase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belongs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transaminases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catalyze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conversion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amino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corresponding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keto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via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transfer of amino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catalyze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reverse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activities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liver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minor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detected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kidneys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heart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skeletal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muscle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pancreas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spleen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lungs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Elevated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transaminases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indicative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myocardial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infarction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hepatopathies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muscular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dystrophy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damage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internal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organs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Increased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serum,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is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rather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indicator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damage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liver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parenchyma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AST is not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necessarily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liver-specific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parameter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International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Federation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Clinical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Chemistry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(IFCC)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recommended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standardized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determination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ALT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optimized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substrate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concentrations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TRIS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buffer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simultaneous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preincubation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serum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buffer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avoid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competing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NADH),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substrate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start,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pyridoxal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phos-phate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activation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here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derived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IFCC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b/>
          <w:bCs/>
          <w:sz w:val="20"/>
          <w:szCs w:val="20"/>
        </w:rPr>
        <w:t xml:space="preserve">Test </w:t>
      </w:r>
      <w:proofErr w:type="spellStart"/>
      <w:r w:rsidRPr="000E5C38">
        <w:rPr>
          <w:rFonts w:ascii="Times New Roman" w:hAnsi="Times New Roman" w:cs="Times New Roman"/>
          <w:b/>
          <w:bCs/>
          <w:sz w:val="20"/>
          <w:szCs w:val="20"/>
        </w:rPr>
        <w:t>principle</w:t>
      </w:r>
      <w:proofErr w:type="spellEnd"/>
      <w:r w:rsidRPr="000E5C38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UV test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IFCC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ALT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>L-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Alanin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+ 2-Oxoglutarate </w:t>
      </w:r>
      <w:r w:rsidRPr="000E5C38">
        <w:rPr>
          <w:rFonts w:ascii="Times New Roman" w:hAnsi="Times New Roman" w:cs="Times New Roman"/>
          <w:sz w:val="20"/>
          <w:szCs w:val="20"/>
        </w:rPr>
        <w:t></w:t>
      </w:r>
      <w:r w:rsidRPr="000E5C38">
        <w:rPr>
          <w:rFonts w:ascii="Cambria Math" w:hAnsi="Cambria Math" w:cs="Cambria Math"/>
          <w:sz w:val="20"/>
          <w:szCs w:val="20"/>
        </w:rPr>
        <w:t>⎯⎯</w:t>
      </w:r>
      <w:r w:rsidRPr="000E5C38">
        <w:rPr>
          <w:rFonts w:ascii="Times New Roman" w:hAnsi="Times New Roman" w:cs="Times New Roman"/>
          <w:sz w:val="20"/>
          <w:szCs w:val="20"/>
        </w:rPr>
        <w:t> L-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Glutamate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Pyruvat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LDH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Pyruvat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NADH + H+ </w:t>
      </w:r>
      <w:r w:rsidRPr="000E5C38">
        <w:rPr>
          <w:rFonts w:ascii="Times New Roman" w:hAnsi="Times New Roman" w:cs="Times New Roman"/>
          <w:sz w:val="20"/>
          <w:szCs w:val="20"/>
        </w:rPr>
        <w:t></w:t>
      </w:r>
      <w:r w:rsidRPr="000E5C38">
        <w:rPr>
          <w:rFonts w:ascii="Cambria Math" w:hAnsi="Cambria Math" w:cs="Cambria Math"/>
          <w:sz w:val="20"/>
          <w:szCs w:val="20"/>
        </w:rPr>
        <w:t>⎯⎯</w:t>
      </w:r>
      <w:r w:rsidRPr="000E5C38">
        <w:rPr>
          <w:rFonts w:ascii="Times New Roman" w:hAnsi="Times New Roman" w:cs="Times New Roman"/>
          <w:sz w:val="20"/>
          <w:szCs w:val="20"/>
        </w:rPr>
        <w:t> D-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Lactate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+ NAD+ 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enzyme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alanine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aminotransferase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(EC 2.6.1.2; L-Alanine:2-Oxoglutarate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Aminotransferase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ALT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A1aAT;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Glutamate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Pyruvate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Transaminase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GPT)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catalyzes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tran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saminase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L-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Alanine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2-Oxoglutarate.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pyruvate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formed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lactate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presence of LDH. As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proceed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NADH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oxidized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NAD+.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disappearance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NADH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time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followed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decrease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absorbance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at 340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nm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.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b/>
          <w:color w:val="FF0000"/>
          <w:u w:val="single"/>
        </w:rPr>
      </w:pPr>
      <w:r w:rsidRPr="000E5C38">
        <w:rPr>
          <w:rFonts w:ascii="Times New Roman" w:hAnsi="Times New Roman" w:cs="Times New Roman"/>
          <w:b/>
          <w:color w:val="FF0000"/>
          <w:u w:val="single"/>
        </w:rPr>
        <w:t>HDL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b/>
          <w:bCs/>
          <w:sz w:val="20"/>
          <w:szCs w:val="20"/>
        </w:rPr>
        <w:t>Summary</w:t>
      </w:r>
      <w:proofErr w:type="spellEnd"/>
      <w:r w:rsidRPr="000E5C38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HDL (High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Density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Lipoproteins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responsible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reverse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transport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peripheral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cells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liver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Here,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transformed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bile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secreted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intestine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via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biliary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tract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HDL-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serum is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clinical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importance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since an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inverse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correlation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exists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serum HDL-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concentrations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risk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atherisclerotic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Elevated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HDL-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concentrations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protective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coronary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heart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HDL-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concentrations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particularly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conjunction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elevated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triglycerides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cardiovascular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risk.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variety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determine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HDL-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ultracentrifugation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electrophoresis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HPLC,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precipitation-bases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precipitation-based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routinely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HDL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separated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precipitating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apoprotein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B-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containing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lipoproteins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serum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combination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polyanion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divalent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dextran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sulfate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magnesium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chloride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phosphotungstate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magnesium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chloride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precipitation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bases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time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consuming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amenable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automated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great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clinical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convenient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reliable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HDL-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serum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pretreatment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approaches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direct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HDL-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serum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magnetically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responsive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particles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polyanionmetal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combinations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polyethylene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glycol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(PEG)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antiapoprotein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anti-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apoprotein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CIII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antibodies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r w:rsidRPr="000E5C38">
        <w:rPr>
          <w:rFonts w:ascii="Times New Roman" w:hAnsi="Times New Roman" w:cs="Times New Roman"/>
          <w:b/>
          <w:bCs/>
          <w:sz w:val="20"/>
          <w:szCs w:val="20"/>
        </w:rPr>
        <w:t xml:space="preserve">Test </w:t>
      </w:r>
      <w:proofErr w:type="spellStart"/>
      <w:r w:rsidRPr="000E5C38">
        <w:rPr>
          <w:rFonts w:ascii="Times New Roman" w:hAnsi="Times New Roman" w:cs="Times New Roman"/>
          <w:b/>
          <w:bCs/>
          <w:sz w:val="20"/>
          <w:szCs w:val="20"/>
        </w:rPr>
        <w:t>principle</w:t>
      </w:r>
      <w:proofErr w:type="spellEnd"/>
      <w:r w:rsidRPr="000E5C38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Enzymatic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colorimetric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test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Sample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R1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R2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start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step LDL, VLDL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Chylomicrons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eliminated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transformed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E5C38">
        <w:rPr>
          <w:rFonts w:ascii="Times New Roman" w:hAnsi="Times New Roman" w:cs="Times New Roman"/>
          <w:sz w:val="20"/>
          <w:szCs w:val="20"/>
        </w:rPr>
        <w:lastRenderedPageBreak/>
        <w:t>non</w:t>
      </w:r>
      <w:proofErr w:type="spellEnd"/>
      <w:proofErr w:type="gram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reactive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compounds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E5C38">
        <w:rPr>
          <w:rFonts w:ascii="Times New Roman" w:hAnsi="Times New Roman" w:cs="Times New Roman"/>
          <w:sz w:val="20"/>
          <w:szCs w:val="20"/>
        </w:rPr>
        <w:t>reagent</w:t>
      </w:r>
      <w:proofErr w:type="spellEnd"/>
      <w:proofErr w:type="gram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HDL-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Esterase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ester + H2O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fatty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O2 Cholesten-3-on + H2O2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H2O2 +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phenol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+ 4-aminoantipyrine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quinoneimine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dye+4 H2O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0E5C3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LDL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Düşük yoğunluklu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lipoproteinler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(LDL),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arteroskleroz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ve koroner skleroz ilerlemesinde önemli rol oynarlar. LDL,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trigiliseridce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zengin olan VLDL’ den </w:t>
      </w:r>
      <w:proofErr w:type="gramStart"/>
      <w:r w:rsidRPr="000E5C38">
        <w:rPr>
          <w:rFonts w:ascii="Times New Roman" w:hAnsi="Times New Roman" w:cs="Times New Roman"/>
          <w:sz w:val="20"/>
          <w:szCs w:val="20"/>
        </w:rPr>
        <w:t>( Çok</w:t>
      </w:r>
      <w:proofErr w:type="gramEnd"/>
      <w:r w:rsidRPr="000E5C38">
        <w:rPr>
          <w:rFonts w:ascii="Times New Roman" w:hAnsi="Times New Roman" w:cs="Times New Roman"/>
          <w:sz w:val="20"/>
          <w:szCs w:val="20"/>
        </w:rPr>
        <w:t xml:space="preserve"> Düşük Yoğun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Lipoprotein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lipolitik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enzim çeşitleri tarafından karaciğerde sentezlenir. Plazmadaki LDL, karaciğerde parankima hücrelerindeki özel almaçlar tarafından seçilir. Kandaki yükselmiş olan LDL yoğunluğu artan biyolojik modifikasyonlarla birleştiğinde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endotelyal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fonksiyonlara zarar verir ve daha yüksek LDL yoğunluğu damar duvarlarındaki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monosit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makrofaj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sistemindeki düz kas hücrelerini kaplar.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Arterosklerotik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plaklar da gizlenmiş olan kolesterolün ana kaynağı LDL’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Koroner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arteroskleroz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tanısında LDL kolesterol tek başına güçlü bir klinik belirleyicidir. Bu nedenle, öncelikli olarak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azaltıcı tedavilere odaklanmalı daha sonra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arterosklerozisde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değişen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endotelyal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fonksiyonlarını korumalı bunun yanı sıra plakların kırılmasını önleyici süreç izlenmelidir. LDL kolesterol tanımlamada çeşitli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metodlar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yaygındır; örneğin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ultrasantrifüj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referans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lipoprotein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elektroforezi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ve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filtrasyon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metodu.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Filtrasyon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yöntemi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apolipoprotein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-B bulundurur, LDL kolesterol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filtrasyonunu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hızlandırmak için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polivinil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sülfat,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dekstran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sülfat ya da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polisiklik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anyonlar kullanılır. LDL-kolesterol içeriği genellikle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polivinil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sülfat ve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dekstran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sülfat ile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filtrasyon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sonrası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süpernatant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içinde kalan toplam kolesterol ve kolesterol arasındaki fark (VLDL-ve HDL-kolesterol) hesaplanır. Klinik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araştırmacıları iki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değerlikli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katyonların varlığında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polianyonlar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kullanılan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ultrasantrifügasyon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ve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filtrasyon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yöntemleri önerir.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Filtrasyon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yöntemleri ancak zaman alıcı olduğundan, otomasyona uygulanamaz ve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lipemik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serum, yüksek serbest yağ asidinden etkilenebilir. Birçok LDL kolesterol tanımlama yönteminde örnek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immunoadsorbsiyon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ve santrifüj tabii tutulur.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Friedewald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formülü LDL-kolesterol yoğunluğu hesaplanmasın da yaygın olarak uygulanmaktadır. Formülle 2 kolesterol tanımlanır, 1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trigliserid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belirlenmesi hem de HDL partiküllerinin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filtrasyonun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da ve açlık kan örneklerin de VLDL-kolesterol ve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trigliserid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arasında doğrudan ilişkili olduğu tahmin edilebilir. Az miktarda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şilomikron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ve normal olmayan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lipoprotein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varlığında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formul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LDL kolesterol değerini yanlış verir. Bundan dolayı ön hazırlık adımları ya da hesaplama yapmadan, basit ve kararlı LDL kolesterol ölçümüne ihtiyaç vardır.</w:t>
      </w:r>
    </w:p>
    <w:p w:rsidR="000E5C38" w:rsidRPr="000E5C38" w:rsidRDefault="000E5C38" w:rsidP="000E5C3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proofErr w:type="spellStart"/>
      <w:r w:rsidRPr="000E5C3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Cholesterol</w:t>
      </w:r>
      <w:proofErr w:type="spellEnd"/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Summary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: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steroid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secondary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hydroxyl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C3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syn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thesized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tissue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but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particularly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liver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intestinal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wall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Approximately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quarters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newly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synthesized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quarter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originates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dietary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intake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assays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screening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athero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sclerotic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risk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diagnosis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treatment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disorders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involving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elevated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lipoprotein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metabolic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disorders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Liebermann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1885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followed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Burchard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1889.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Liebermann-Burchard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forms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blue-green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dye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polymeric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unsaturated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carbohydrates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an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acetic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acetic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anhydride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concentrated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sulfuric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medium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Abell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Kendall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but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technically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complex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requires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corrosive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reagents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1974,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Roeschlau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Allain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fully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enzymatic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determination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A4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cholestenone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enzymatic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cleavage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ester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esterase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conversion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subsequent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Trinder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hydrogen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formed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ester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cleavage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(&gt;99.5%)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allows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standardization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secondary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standards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direct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CDC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NIST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Analyticon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assay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meets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1992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National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Institutes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(NIH)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goal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less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equal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3%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precision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bias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.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Test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principle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: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esterase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ester + H2O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fatty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acids</w:t>
      </w:r>
      <w:proofErr w:type="spellEnd"/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esters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ceaved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esterase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yield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free</w:t>
      </w:r>
      <w:proofErr w:type="spellEnd"/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E5C38">
        <w:rPr>
          <w:rFonts w:ascii="Times New Roman" w:hAnsi="Times New Roman" w:cs="Times New Roman"/>
          <w:sz w:val="20"/>
          <w:szCs w:val="20"/>
        </w:rPr>
        <w:t>choesterol</w:t>
      </w:r>
      <w:proofErr w:type="spellEnd"/>
      <w:proofErr w:type="gram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fatty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O2 Cholesten-3-on + H2O2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Peroxidase</w:t>
      </w:r>
      <w:proofErr w:type="spellEnd"/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2H2O2 +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Phenol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+ 4-Aminoantipyrine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Quinoneimine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dye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+ 4 H2O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converted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oxygen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A4-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Cholestenone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hydrogen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Hydrogen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created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forms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dyestuff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4-aminoantipyrine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phenol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catalytic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intensity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directly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proportional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concentration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cholesterol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photometrically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.</w:t>
      </w:r>
    </w:p>
    <w:p w:rsidR="000E5C38" w:rsidRPr="000E5C38" w:rsidRDefault="000E5C38" w:rsidP="000E5C3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proofErr w:type="spellStart"/>
      <w:r w:rsidRPr="000E5C3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Uric</w:t>
      </w:r>
      <w:proofErr w:type="spellEnd"/>
      <w:r w:rsidRPr="000E5C3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Pr="000E5C3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acid</w:t>
      </w:r>
      <w:proofErr w:type="spellEnd"/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Summary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: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the final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purine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metabolism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human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organism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diagnosis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treatment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numerous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renai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metabolic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disorders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renal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failure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gout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leukaemia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psoriasis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starvation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wasting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patients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receiving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cytotoxic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drugs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basic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approaches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quantitative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determination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purine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metabolite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approach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reduction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phosphotungstic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an alkaline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tungsten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blue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photometrically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interferences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drugs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reducing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substances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.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approach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Praetorius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Poulson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utilizes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enzyme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oxidise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eliminates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interferences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intrinsic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chemical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employed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involve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UV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combination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enzymes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colorimetric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.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assay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here is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slight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modification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colorimetric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modifications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Siedel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phenole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amino-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antipyrine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presence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form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quinonimine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dye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intensity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proportional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concentration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photometrically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.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Test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principle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: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Colorimetric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assay</w:t>
      </w:r>
      <w:proofErr w:type="spellEnd"/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Uricase</w:t>
      </w:r>
      <w:proofErr w:type="spellEnd"/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+ 2 H2O + O2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Allantoin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CO 2 + H 2O 2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cleaves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form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allantoin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hydrogen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.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>POD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2H2O2 + 4H+ +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phenole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+ 4-aminoantipyrine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quinonimine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dye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+ 4H2O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absorbance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.</w:t>
      </w:r>
    </w:p>
    <w:p w:rsidR="000E5C38" w:rsidRPr="000E5C38" w:rsidRDefault="000E5C38" w:rsidP="000E5C3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proofErr w:type="spellStart"/>
      <w:r w:rsidRPr="000E5C3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Glucose</w:t>
      </w:r>
      <w:proofErr w:type="spellEnd"/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Summary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: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Glucose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central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cells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organism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common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follows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hydrolytic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cleavage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polymeric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carbohydrates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in general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starch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Glucose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monosaccharide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postprandial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concentration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5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mmol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/l in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blood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serves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as an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indispensable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energy-supply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cellular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glucose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catabolism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takes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place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via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glycolysis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as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step,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followed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citric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cycle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oxidative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phosphorylation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.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Glucose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regulations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become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executed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diagnosis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course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carbohydrate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metabolism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illnesses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like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diabetes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mellitus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neonatal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hypoglycemia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idiopathic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hypoglycemia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insulinoma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.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The test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bases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coupling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enzymatic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glucose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glucose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resulting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hydrogen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subsequently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generation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a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coloured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Trinder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carcinogenic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ortho-dianisidine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earlier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formulations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has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replaced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phenole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4-amino-antipyrine.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Test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principle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: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Enzymatic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colorimetric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test on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basis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Trinder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>: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Glucose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oxidase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Glucose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O2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Gluconic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H2O2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Peroxidase</w:t>
      </w:r>
      <w:proofErr w:type="spellEnd"/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2H2O2 +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Phenol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+ 4–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Aminoantipyrine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Quinoneimine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+ 4H2O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0E5C38" w:rsidRPr="000E5C38" w:rsidRDefault="000E5C38" w:rsidP="000E5C3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proofErr w:type="spellStart"/>
      <w:r w:rsidRPr="000E5C3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Triglycerides</w:t>
      </w:r>
      <w:proofErr w:type="spellEnd"/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r w:rsidRPr="000E5C38">
        <w:rPr>
          <w:rFonts w:ascii="Times New Roman" w:hAnsi="Times New Roman" w:cs="Times New Roman"/>
          <w:b/>
          <w:bCs/>
          <w:sz w:val="20"/>
          <w:szCs w:val="20"/>
        </w:rPr>
        <w:t xml:space="preserve">Test </w:t>
      </w:r>
      <w:proofErr w:type="spellStart"/>
      <w:r w:rsidRPr="000E5C38">
        <w:rPr>
          <w:rFonts w:ascii="Times New Roman" w:hAnsi="Times New Roman" w:cs="Times New Roman"/>
          <w:b/>
          <w:bCs/>
          <w:sz w:val="20"/>
          <w:szCs w:val="20"/>
        </w:rPr>
        <w:t>principle</w:t>
      </w:r>
      <w:proofErr w:type="spellEnd"/>
      <w:r w:rsidRPr="000E5C38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Triglycerides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sample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originates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means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coupled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reactions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acoloured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complex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spectrophotometry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Triglycerides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H2O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lipase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Glycerol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Fatty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acids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lastRenderedPageBreak/>
        <w:t>Glycerol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ATP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glycerol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kinase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Glycerol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– 3 – P + ADP </w:t>
      </w:r>
    </w:p>
    <w:p w:rsidR="000E5C38" w:rsidRPr="000E5C38" w:rsidRDefault="000E5C38" w:rsidP="000E5C38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0E5C38">
        <w:rPr>
          <w:rFonts w:ascii="Times New Roman" w:hAnsi="Times New Roman" w:cs="Times New Roman"/>
          <w:sz w:val="20"/>
          <w:szCs w:val="20"/>
        </w:rPr>
        <w:t>Glycerol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– 3 –P + O2 G-3-P-oxidase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Dihidroxyacetone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– P +H2O2 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  <w:r w:rsidRPr="000E5C38">
        <w:rPr>
          <w:rFonts w:ascii="Times New Roman" w:hAnsi="Times New Roman" w:cs="Times New Roman"/>
          <w:sz w:val="20"/>
          <w:szCs w:val="20"/>
        </w:rPr>
        <w:t xml:space="preserve">2 H2O2 + 4 –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Aminoantipyrine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+ 4 –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Chlorophenol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G-3-P-oxidas </w:t>
      </w:r>
      <w:proofErr w:type="spellStart"/>
      <w:r w:rsidRPr="000E5C38">
        <w:rPr>
          <w:rFonts w:ascii="Times New Roman" w:hAnsi="Times New Roman" w:cs="Times New Roman"/>
          <w:sz w:val="20"/>
          <w:szCs w:val="20"/>
        </w:rPr>
        <w:t>Quinoneimine</w:t>
      </w:r>
      <w:proofErr w:type="spellEnd"/>
      <w:r w:rsidRPr="000E5C38">
        <w:rPr>
          <w:rFonts w:ascii="Times New Roman" w:hAnsi="Times New Roman" w:cs="Times New Roman"/>
          <w:sz w:val="20"/>
          <w:szCs w:val="20"/>
        </w:rPr>
        <w:t xml:space="preserve"> + 4 H2O</w:t>
      </w: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p w:rsidR="000E5C38" w:rsidRPr="000E5C38" w:rsidRDefault="000E5C38" w:rsidP="000E5C38">
      <w:pPr>
        <w:rPr>
          <w:rFonts w:ascii="Times New Roman" w:hAnsi="Times New Roman" w:cs="Times New Roman"/>
          <w:sz w:val="20"/>
          <w:szCs w:val="20"/>
        </w:rPr>
      </w:pPr>
    </w:p>
    <w:sectPr w:rsidR="000E5C38" w:rsidRPr="000E5C38" w:rsidSect="00AE4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80"/>
    <w:rsid w:val="000E5C38"/>
    <w:rsid w:val="00AE4C80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1B17"/>
  <w15:chartTrackingRefBased/>
  <w15:docId w15:val="{9047099F-170B-4360-A084-69DB45AD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E4C80"/>
    <w:pPr>
      <w:spacing w:after="0" w:line="240" w:lineRule="auto"/>
    </w:pPr>
  </w:style>
  <w:style w:type="paragraph" w:customStyle="1" w:styleId="Default">
    <w:name w:val="Default"/>
    <w:rsid w:val="000E5C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2019-05-10T09:18:00Z</dcterms:created>
  <dcterms:modified xsi:type="dcterms:W3CDTF">2019-05-10T09:42:00Z</dcterms:modified>
</cp:coreProperties>
</file>