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E94C7" w14:textId="1679B36D" w:rsidR="00307C1D" w:rsidRPr="00CF78C5" w:rsidRDefault="00CF78C5">
      <w:pPr>
        <w:rPr>
          <w:b/>
        </w:rPr>
      </w:pPr>
      <w:proofErr w:type="spellStart"/>
      <w:r w:rsidRPr="00CF78C5">
        <w:rPr>
          <w:b/>
        </w:rPr>
        <w:t>Histopatolojik</w:t>
      </w:r>
      <w:proofErr w:type="spellEnd"/>
      <w:r w:rsidRPr="00CF78C5">
        <w:rPr>
          <w:b/>
        </w:rPr>
        <w:t xml:space="preserve"> inceleme sonuçları</w:t>
      </w:r>
    </w:p>
    <w:p w14:paraId="55E509A1" w14:textId="1E3280F0" w:rsidR="00CF78C5" w:rsidRDefault="00CF78C5" w:rsidP="00CF78C5">
      <w:pPr>
        <w:ind w:firstLine="708"/>
        <w:jc w:val="both"/>
      </w:pPr>
      <w:r>
        <w:t xml:space="preserve">Değişik doz ve günlere göre </w:t>
      </w:r>
      <w:proofErr w:type="spellStart"/>
      <w:r>
        <w:t>d</w:t>
      </w:r>
      <w:r w:rsidRPr="00CF78C5">
        <w:t>ekspantenol</w:t>
      </w:r>
      <w:proofErr w:type="spellEnd"/>
      <w:r w:rsidRPr="00CF78C5">
        <w:t xml:space="preserve"> </w:t>
      </w:r>
      <w:r>
        <w:t xml:space="preserve">ve </w:t>
      </w:r>
      <w:proofErr w:type="spellStart"/>
      <w:r>
        <w:t>e</w:t>
      </w:r>
      <w:r w:rsidRPr="00CF78C5">
        <w:t>ucalyptol</w:t>
      </w:r>
      <w:proofErr w:type="spellEnd"/>
      <w:r>
        <w:t xml:space="preserve"> uygulanan tedavi, </w:t>
      </w:r>
      <w:proofErr w:type="spellStart"/>
      <w:r>
        <w:t>sham</w:t>
      </w:r>
      <w:proofErr w:type="spellEnd"/>
      <w:r>
        <w:t xml:space="preserve"> ve kontrol gruplarına ait dokulara ait kesitler, rutin yöntemlerle </w:t>
      </w:r>
      <w:proofErr w:type="spellStart"/>
      <w:r>
        <w:t>hematoksilen-eozinle</w:t>
      </w:r>
      <w:proofErr w:type="spellEnd"/>
      <w:r>
        <w:t xml:space="preserve"> boyanıp </w:t>
      </w:r>
      <w:proofErr w:type="spellStart"/>
      <w:r>
        <w:t>histopatolojik</w:t>
      </w:r>
      <w:proofErr w:type="spellEnd"/>
      <w:r>
        <w:t xml:space="preserve"> olarak kör 2 </w:t>
      </w:r>
      <w:proofErr w:type="spellStart"/>
      <w:r>
        <w:t>histolog</w:t>
      </w:r>
      <w:proofErr w:type="spellEnd"/>
      <w:r>
        <w:t xml:space="preserve"> tarafından incelenmiştir. </w:t>
      </w:r>
    </w:p>
    <w:p w14:paraId="12894770" w14:textId="6DC368FE" w:rsidR="00CF78C5" w:rsidRDefault="00CF78C5" w:rsidP="00CF78C5">
      <w:pPr>
        <w:jc w:val="both"/>
      </w:pPr>
      <w:r>
        <w:tab/>
        <w:t xml:space="preserve">Tedavisi 7 gün uygulanan gruplarda </w:t>
      </w:r>
      <w:proofErr w:type="spellStart"/>
      <w:r>
        <w:t>epitelizasyonun</w:t>
      </w:r>
      <w:proofErr w:type="spellEnd"/>
      <w:r>
        <w:t xml:space="preserve"> tamamlanmadığı alanlar görülmüştür. Bu alanlar özellikle </w:t>
      </w:r>
      <w:proofErr w:type="spellStart"/>
      <w:r>
        <w:t>sham</w:t>
      </w:r>
      <w:proofErr w:type="spellEnd"/>
      <w:r>
        <w:t xml:space="preserve"> grubunda yoğunluk göstermekle beraber, %5 E-7 grubunda da izlenmiştir. Yara iyileşmesinin ana göstergelerinden olan </w:t>
      </w:r>
      <w:proofErr w:type="spellStart"/>
      <w:r>
        <w:t>epitelizasyon</w:t>
      </w:r>
      <w:proofErr w:type="spellEnd"/>
      <w:r>
        <w:t>, %10 E-7 ve D-7 gruplarında tamamlanmıştır. 21 günlük</w:t>
      </w:r>
      <w:r w:rsidR="00456E05">
        <w:t xml:space="preserve"> </w:t>
      </w:r>
      <w:proofErr w:type="spellStart"/>
      <w:r w:rsidR="00456E05">
        <w:t>sham</w:t>
      </w:r>
      <w:proofErr w:type="spellEnd"/>
      <w:r w:rsidR="00456E05">
        <w:t xml:space="preserve"> ve tedavi gruplarının tamamında birleşmemiş </w:t>
      </w:r>
      <w:proofErr w:type="spellStart"/>
      <w:r w:rsidR="00456E05">
        <w:t>epidermis</w:t>
      </w:r>
      <w:proofErr w:type="spellEnd"/>
      <w:r w:rsidR="00456E05">
        <w:t xml:space="preserve"> alanları izlenmemiştir. </w:t>
      </w:r>
    </w:p>
    <w:p w14:paraId="7C9FD733" w14:textId="47DF2A66" w:rsidR="00456E05" w:rsidRDefault="00456E05" w:rsidP="00CF78C5">
      <w:pPr>
        <w:jc w:val="both"/>
      </w:pPr>
      <w:r>
        <w:tab/>
        <w:t xml:space="preserve">Yara sonrası iyileşmede doku fonksiyon geri dönüşünün yansıması olan </w:t>
      </w:r>
      <w:proofErr w:type="spellStart"/>
      <w:r>
        <w:t>epidermis</w:t>
      </w:r>
      <w:proofErr w:type="spellEnd"/>
      <w:r>
        <w:t xml:space="preserve"> kalınl</w:t>
      </w:r>
      <w:r w:rsidR="00942EC1">
        <w:t>ık artışı</w:t>
      </w:r>
      <w:r w:rsidR="008E2869">
        <w:t xml:space="preserve">, aynı kesitte yara yerine yakın normal </w:t>
      </w:r>
      <w:proofErr w:type="spellStart"/>
      <w:r w:rsidR="008E2869">
        <w:t>epidermise</w:t>
      </w:r>
      <w:proofErr w:type="spellEnd"/>
      <w:r w:rsidR="008E2869">
        <w:t xml:space="preserve"> ait ölçümlerle, yara yerine ait </w:t>
      </w:r>
      <w:proofErr w:type="spellStart"/>
      <w:r w:rsidR="008E2869">
        <w:t>epidermis</w:t>
      </w:r>
      <w:proofErr w:type="spellEnd"/>
      <w:r w:rsidR="008E2869">
        <w:t xml:space="preserve"> kalınlıkları ölçülerek karşılaştırılıp incelenmiştir.</w:t>
      </w:r>
      <w:r w:rsidR="00942EC1">
        <w:t xml:space="preserve"> </w:t>
      </w:r>
      <w:r w:rsidR="008E2869">
        <w:t xml:space="preserve">Kalınlık artışı </w:t>
      </w:r>
      <w:r w:rsidR="00942EC1">
        <w:t xml:space="preserve">gruplar arasında benzer şekilde izlenmiş, en yüksek %5 E-7 grubunda, en düşük ise %5 E-21 grubunda izlenmiştir. Bu açıdan </w:t>
      </w:r>
      <w:proofErr w:type="spellStart"/>
      <w:r w:rsidR="00942EC1">
        <w:t>eukaliptolün</w:t>
      </w:r>
      <w:proofErr w:type="spellEnd"/>
      <w:r w:rsidR="00942EC1">
        <w:t xml:space="preserve"> </w:t>
      </w:r>
      <w:proofErr w:type="spellStart"/>
      <w:r w:rsidR="00942EC1">
        <w:t>primer</w:t>
      </w:r>
      <w:proofErr w:type="spellEnd"/>
      <w:r w:rsidR="00942EC1">
        <w:t xml:space="preserve"> yara iyileşmesine oranla </w:t>
      </w:r>
      <w:proofErr w:type="spellStart"/>
      <w:r w:rsidR="00942EC1">
        <w:t>epi</w:t>
      </w:r>
      <w:r w:rsidR="00922042">
        <w:t>dermis</w:t>
      </w:r>
      <w:proofErr w:type="spellEnd"/>
      <w:r w:rsidR="00942EC1">
        <w:t xml:space="preserve"> kalınlığının korunmasında %5 oranında 21 günlük kullanılmasının daha iyi olacağı sonucunu ortaya çıkarmaktadır. </w:t>
      </w:r>
    </w:p>
    <w:p w14:paraId="11A4D4F1" w14:textId="77777777" w:rsidR="00942EC1" w:rsidRDefault="00942EC1" w:rsidP="00CF78C5">
      <w:pPr>
        <w:jc w:val="both"/>
      </w:pPr>
    </w:p>
    <w:p w14:paraId="3D7AC144" w14:textId="28FD39A1" w:rsidR="00CF78C5" w:rsidRDefault="00942EC1" w:rsidP="00CF78C5">
      <w:pPr>
        <w:jc w:val="both"/>
      </w:pPr>
      <w:r>
        <w:t xml:space="preserve">                     </w:t>
      </w:r>
      <w:r>
        <w:rPr>
          <w:noProof/>
        </w:rPr>
        <w:drawing>
          <wp:inline distT="0" distB="0" distL="0" distR="0" wp14:anchorId="13B3D6ED" wp14:editId="7548F0A0">
            <wp:extent cx="4572000" cy="2743200"/>
            <wp:effectExtent l="0" t="0" r="0" b="0"/>
            <wp:docPr id="1" name="Grafik 1">
              <a:extLst xmlns:a="http://schemas.openxmlformats.org/drawingml/2006/main">
                <a:ext uri="{FF2B5EF4-FFF2-40B4-BE49-F238E27FC236}">
                  <a16:creationId xmlns:a16="http://schemas.microsoft.com/office/drawing/2014/main" id="{B0509F17-93C6-4B0F-A7C4-B1D8325914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59897CE" w14:textId="2E557CE3" w:rsidR="00942EC1" w:rsidRDefault="008E2869" w:rsidP="008E2869">
      <w:pPr>
        <w:ind w:left="1134" w:right="850"/>
        <w:jc w:val="both"/>
      </w:pPr>
      <w:r>
        <w:t>Grafik</w:t>
      </w:r>
      <w:r w:rsidR="00100719">
        <w:t xml:space="preserve"> </w:t>
      </w:r>
      <w:r>
        <w:t xml:space="preserve">1: Gruplara göre </w:t>
      </w:r>
      <w:proofErr w:type="spellStart"/>
      <w:r>
        <w:t>epidermis</w:t>
      </w:r>
      <w:proofErr w:type="spellEnd"/>
      <w:r>
        <w:t xml:space="preserve"> kalınlık artışlarının karşılaştırılması. Değerler yüzde olarak ölçülmüştür.</w:t>
      </w:r>
    </w:p>
    <w:p w14:paraId="2BD78F37" w14:textId="77777777" w:rsidR="008E2869" w:rsidRDefault="008E2869" w:rsidP="008E2869">
      <w:pPr>
        <w:ind w:left="1134" w:right="850"/>
        <w:jc w:val="both"/>
      </w:pPr>
    </w:p>
    <w:p w14:paraId="6A2B259E" w14:textId="1C69E81A" w:rsidR="008E2869" w:rsidRDefault="008E2869" w:rsidP="00CF78C5">
      <w:pPr>
        <w:jc w:val="both"/>
      </w:pPr>
      <w:r>
        <w:tab/>
      </w:r>
      <w:proofErr w:type="spellStart"/>
      <w:r w:rsidR="00922042">
        <w:t>Dermiste</w:t>
      </w:r>
      <w:proofErr w:type="spellEnd"/>
      <w:r w:rsidR="00922042">
        <w:t xml:space="preserve"> meydana gelen </w:t>
      </w:r>
      <w:proofErr w:type="spellStart"/>
      <w:r w:rsidR="00922042">
        <w:t>vakuolizasyon</w:t>
      </w:r>
      <w:proofErr w:type="spellEnd"/>
      <w:r w:rsidR="00922042">
        <w:t xml:space="preserve"> benzeri dejenerasyon alanlarının ölçüm sonuçlarına göre ilaç alan gruplar karşılaştırıldığında %5 E-7 grubu hariç </w:t>
      </w:r>
      <w:proofErr w:type="spellStart"/>
      <w:r w:rsidR="00922042">
        <w:t>Sham</w:t>
      </w:r>
      <w:proofErr w:type="spellEnd"/>
      <w:r w:rsidR="00922042">
        <w:t xml:space="preserve"> grubuna oranla azalma izlendi (</w:t>
      </w:r>
      <w:r w:rsidR="00100719">
        <w:t>G</w:t>
      </w:r>
      <w:r w:rsidR="00922042">
        <w:t>rafik</w:t>
      </w:r>
      <w:r w:rsidR="00100719">
        <w:t xml:space="preserve"> </w:t>
      </w:r>
      <w:r w:rsidR="00922042">
        <w:t xml:space="preserve">2).  </w:t>
      </w:r>
      <w:proofErr w:type="spellStart"/>
      <w:r w:rsidR="00922042">
        <w:t>Dekspantenol</w:t>
      </w:r>
      <w:proofErr w:type="spellEnd"/>
      <w:r w:rsidR="00922042">
        <w:t xml:space="preserve"> hem 7 hem de 21 gün uygulamalarında </w:t>
      </w:r>
      <w:proofErr w:type="spellStart"/>
      <w:r w:rsidR="00922042">
        <w:t>dermal</w:t>
      </w:r>
      <w:proofErr w:type="spellEnd"/>
      <w:r w:rsidR="00922042">
        <w:t xml:space="preserve"> dejenerasyonun azalmasında daha etkili görünmektedir.</w:t>
      </w:r>
    </w:p>
    <w:p w14:paraId="020F3673" w14:textId="73FECB20" w:rsidR="00922042" w:rsidRDefault="00922042" w:rsidP="00100719">
      <w:pPr>
        <w:ind w:left="708"/>
        <w:jc w:val="both"/>
      </w:pPr>
      <w:r>
        <w:rPr>
          <w:noProof/>
        </w:rPr>
        <w:lastRenderedPageBreak/>
        <w:drawing>
          <wp:inline distT="0" distB="0" distL="0" distR="0" wp14:anchorId="00B750E1" wp14:editId="13A68688">
            <wp:extent cx="4572000" cy="2743200"/>
            <wp:effectExtent l="0" t="0" r="0" b="0"/>
            <wp:docPr id="2" name="Grafik 2">
              <a:extLst xmlns:a="http://schemas.openxmlformats.org/drawingml/2006/main">
                <a:ext uri="{FF2B5EF4-FFF2-40B4-BE49-F238E27FC236}">
                  <a16:creationId xmlns:a16="http://schemas.microsoft.com/office/drawing/2014/main" id="{EA003DB6-C279-40B3-B46E-EF9A6D6A35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0C38EA7" w14:textId="1D0FD90D" w:rsidR="00100719" w:rsidRDefault="00100719" w:rsidP="00100719">
      <w:pPr>
        <w:ind w:left="708" w:right="1134"/>
        <w:jc w:val="both"/>
      </w:pPr>
      <w:r>
        <w:t xml:space="preserve">Grafik 2: </w:t>
      </w:r>
      <w:proofErr w:type="spellStart"/>
      <w:r>
        <w:t>Dermal</w:t>
      </w:r>
      <w:proofErr w:type="spellEnd"/>
      <w:r>
        <w:t xml:space="preserve"> dejenerasyon alanlarının gruplar arası karşılaştırılması. (</w:t>
      </w:r>
      <w:proofErr w:type="gramStart"/>
      <w:r>
        <w:t>mikrometr</w:t>
      </w:r>
      <w:r w:rsidR="000D1915">
        <w:t>e</w:t>
      </w:r>
      <w:proofErr w:type="gramEnd"/>
      <w:r>
        <w:t xml:space="preserve"> kare cinsinden sonuçlar)</w:t>
      </w:r>
    </w:p>
    <w:p w14:paraId="19A1C645" w14:textId="2E6A5819" w:rsidR="00100719" w:rsidRDefault="00100719" w:rsidP="00100719">
      <w:pPr>
        <w:ind w:left="708"/>
        <w:jc w:val="both"/>
      </w:pPr>
    </w:p>
    <w:p w14:paraId="20030765" w14:textId="77777777" w:rsidR="000D1915" w:rsidRDefault="00100719" w:rsidP="00100719">
      <w:pPr>
        <w:ind w:firstLine="851"/>
        <w:jc w:val="both"/>
      </w:pPr>
      <w:r>
        <w:t xml:space="preserve">Travmaya </w:t>
      </w:r>
      <w:proofErr w:type="spellStart"/>
      <w:r>
        <w:t>sekonder</w:t>
      </w:r>
      <w:proofErr w:type="spellEnd"/>
      <w:r>
        <w:t xml:space="preserve"> </w:t>
      </w:r>
      <w:proofErr w:type="spellStart"/>
      <w:r>
        <w:t>enflamatuar</w:t>
      </w:r>
      <w:proofErr w:type="spellEnd"/>
      <w:r>
        <w:t xml:space="preserve"> cevap sonucu meydana gelen </w:t>
      </w:r>
      <w:proofErr w:type="spellStart"/>
      <w:r>
        <w:t>granülasyon</w:t>
      </w:r>
      <w:proofErr w:type="spellEnd"/>
      <w:r>
        <w:t xml:space="preserve"> alanlarının ölçümleri sonuçlarına gör</w:t>
      </w:r>
      <w:r w:rsidR="000D1915">
        <w:t>e</w:t>
      </w:r>
      <w:r>
        <w:t xml:space="preserve"> 21 günlük tedaviler daha etkili</w:t>
      </w:r>
      <w:r w:rsidR="000D1915">
        <w:t xml:space="preserve"> görünmektedir ancak 21 günlük gruplarda azalma, </w:t>
      </w:r>
      <w:proofErr w:type="spellStart"/>
      <w:r w:rsidR="000D1915">
        <w:t>sham</w:t>
      </w:r>
      <w:proofErr w:type="spellEnd"/>
      <w:r w:rsidR="000D1915">
        <w:t xml:space="preserve"> grubuyla benzerdir (Grafik 3).</w:t>
      </w:r>
    </w:p>
    <w:p w14:paraId="40C27C17" w14:textId="73E7B156" w:rsidR="00100719" w:rsidRDefault="000D1915" w:rsidP="00100719">
      <w:pPr>
        <w:ind w:firstLine="851"/>
        <w:jc w:val="both"/>
      </w:pPr>
      <w:r>
        <w:rPr>
          <w:noProof/>
        </w:rPr>
        <w:drawing>
          <wp:inline distT="0" distB="0" distL="0" distR="0" wp14:anchorId="453CFE51" wp14:editId="4A848290">
            <wp:extent cx="4572000" cy="2743200"/>
            <wp:effectExtent l="0" t="0" r="0" b="0"/>
            <wp:docPr id="3" name="Grafik 3">
              <a:extLst xmlns:a="http://schemas.openxmlformats.org/drawingml/2006/main">
                <a:ext uri="{FF2B5EF4-FFF2-40B4-BE49-F238E27FC236}">
                  <a16:creationId xmlns:a16="http://schemas.microsoft.com/office/drawing/2014/main" id="{456BE554-46D8-4827-B232-7141005BEE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100719">
        <w:t xml:space="preserve"> </w:t>
      </w:r>
    </w:p>
    <w:p w14:paraId="05F9DFC6" w14:textId="77777777" w:rsidR="004E578D" w:rsidRDefault="004E578D" w:rsidP="004E578D">
      <w:pPr>
        <w:ind w:left="708" w:right="1134"/>
        <w:jc w:val="both"/>
      </w:pPr>
      <w:r>
        <w:t xml:space="preserve">Grafik 3: </w:t>
      </w:r>
      <w:proofErr w:type="spellStart"/>
      <w:r>
        <w:t>Dermisteki</w:t>
      </w:r>
      <w:proofErr w:type="spellEnd"/>
      <w:r>
        <w:t xml:space="preserve"> </w:t>
      </w:r>
      <w:proofErr w:type="spellStart"/>
      <w:r>
        <w:t>granülasyon</w:t>
      </w:r>
      <w:proofErr w:type="spellEnd"/>
      <w:r>
        <w:t xml:space="preserve"> alanlarının karşılaştırılması. </w:t>
      </w:r>
      <w:r>
        <w:t>(</w:t>
      </w:r>
      <w:proofErr w:type="gramStart"/>
      <w:r>
        <w:t>mikrometre</w:t>
      </w:r>
      <w:proofErr w:type="gramEnd"/>
      <w:r>
        <w:t xml:space="preserve"> kare cinsinden sonuçlar)</w:t>
      </w:r>
    </w:p>
    <w:p w14:paraId="1A8B18FF" w14:textId="1ADBC510" w:rsidR="004E578D" w:rsidRDefault="004E578D" w:rsidP="00100719">
      <w:pPr>
        <w:ind w:firstLine="851"/>
        <w:jc w:val="both"/>
      </w:pPr>
      <w:r>
        <w:t xml:space="preserve">Yara iyileşmesi sırasında artan kan akımıyla beraber </w:t>
      </w:r>
      <w:proofErr w:type="spellStart"/>
      <w:r>
        <w:t>migrasyona</w:t>
      </w:r>
      <w:proofErr w:type="spellEnd"/>
      <w:r>
        <w:t xml:space="preserve"> uğrayan beyaz küre yoğunluğu </w:t>
      </w:r>
      <w:proofErr w:type="spellStart"/>
      <w:r>
        <w:t>skorlamasında</w:t>
      </w:r>
      <w:proofErr w:type="spellEnd"/>
      <w:r>
        <w:t xml:space="preserve"> 7 günlük tedavi gruplarının tamamı 7 günlük </w:t>
      </w:r>
      <w:proofErr w:type="spellStart"/>
      <w:r>
        <w:t>sham</w:t>
      </w:r>
      <w:proofErr w:type="spellEnd"/>
      <w:r>
        <w:t xml:space="preserve"> grubuna; 21 günlük tedavi grupları da 21 günlük </w:t>
      </w:r>
      <w:proofErr w:type="spellStart"/>
      <w:r>
        <w:t>sham</w:t>
      </w:r>
      <w:proofErr w:type="spellEnd"/>
      <w:r>
        <w:t xml:space="preserve"> grubuna oranla daha düşük skora sahiptir. Yani tedavi gruplarında daha düşük </w:t>
      </w:r>
      <w:proofErr w:type="spellStart"/>
      <w:r>
        <w:t>enflamasyon</w:t>
      </w:r>
      <w:proofErr w:type="spellEnd"/>
      <w:r>
        <w:t xml:space="preserve"> izlenmiştir. Yüksek doz %10 </w:t>
      </w:r>
      <w:proofErr w:type="spellStart"/>
      <w:r>
        <w:t>e</w:t>
      </w:r>
      <w:r w:rsidRPr="00CF78C5">
        <w:t>ucalyptol</w:t>
      </w:r>
      <w:r>
        <w:t>’ün</w:t>
      </w:r>
      <w:proofErr w:type="spellEnd"/>
      <w:r>
        <w:t xml:space="preserve"> 21 gün uygulanan grup belirgin olmayan miktarda, 21 gün </w:t>
      </w:r>
      <w:proofErr w:type="spellStart"/>
      <w:r>
        <w:t>d</w:t>
      </w:r>
      <w:r w:rsidRPr="00CF78C5">
        <w:t>ekspantenol</w:t>
      </w:r>
      <w:proofErr w:type="spellEnd"/>
      <w:r>
        <w:t xml:space="preserve"> verilen gru</w:t>
      </w:r>
      <w:bookmarkStart w:id="0" w:name="_GoBack"/>
      <w:bookmarkEnd w:id="0"/>
      <w:r>
        <w:t xml:space="preserve">ba oranla daha düşük skora sahiptir. </w:t>
      </w:r>
    </w:p>
    <w:p w14:paraId="29ACE176" w14:textId="77777777" w:rsidR="00100719" w:rsidRDefault="00100719" w:rsidP="00100719">
      <w:pPr>
        <w:ind w:left="708"/>
        <w:jc w:val="both"/>
      </w:pPr>
    </w:p>
    <w:sectPr w:rsidR="001007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8D0"/>
    <w:rsid w:val="000D1915"/>
    <w:rsid w:val="00100719"/>
    <w:rsid w:val="00307C1D"/>
    <w:rsid w:val="00456E05"/>
    <w:rsid w:val="004E578D"/>
    <w:rsid w:val="008E2869"/>
    <w:rsid w:val="009067E3"/>
    <w:rsid w:val="00922042"/>
    <w:rsid w:val="00942EC1"/>
    <w:rsid w:val="00AD18D0"/>
    <w:rsid w:val="00C303BE"/>
    <w:rsid w:val="00CF78C5"/>
    <w:rsid w:val="00D3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34471"/>
  <w15:chartTrackingRefBased/>
  <w15:docId w15:val="{62992DF7-F26E-461B-9832-C03800CB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oga\OneDrive\Desktop\h&amp;e%20deri%202021\sonu&#231;%20grafikler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oga\OneDrive\Desktop\h&amp;e%20deri%202021\sonu&#231;%20grafikler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Epidermis Kalınlık </a:t>
            </a:r>
            <a:r>
              <a:rPr lang="en-US"/>
              <a:t>Artış Yüzdesi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'Epitel kalınlık artışı'!$B$2</c:f>
              <c:strCache>
                <c:ptCount val="1"/>
                <c:pt idx="0">
                  <c:v>Artış Yüzdesi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'Epitel kalınlık artışı'!$A$3:$A$10</c:f>
              <c:strCache>
                <c:ptCount val="8"/>
                <c:pt idx="0">
                  <c:v>Dx-7</c:v>
                </c:pt>
                <c:pt idx="1">
                  <c:v>Dx-21</c:v>
                </c:pt>
                <c:pt idx="2">
                  <c:v>Sham-7</c:v>
                </c:pt>
                <c:pt idx="3">
                  <c:v>Sham-21</c:v>
                </c:pt>
                <c:pt idx="4">
                  <c:v>E5-7</c:v>
                </c:pt>
                <c:pt idx="5">
                  <c:v>E5-21</c:v>
                </c:pt>
                <c:pt idx="6">
                  <c:v>E10-7</c:v>
                </c:pt>
                <c:pt idx="7">
                  <c:v>E10-21</c:v>
                </c:pt>
              </c:strCache>
            </c:strRef>
          </c:cat>
          <c:val>
            <c:numRef>
              <c:f>'Epitel kalınlık artışı'!$B$3:$B$10</c:f>
              <c:numCache>
                <c:formatCode>0%</c:formatCode>
                <c:ptCount val="8"/>
                <c:pt idx="0">
                  <c:v>0.65</c:v>
                </c:pt>
                <c:pt idx="1">
                  <c:v>0.81</c:v>
                </c:pt>
                <c:pt idx="2">
                  <c:v>0.76</c:v>
                </c:pt>
                <c:pt idx="3">
                  <c:v>0.81</c:v>
                </c:pt>
                <c:pt idx="4">
                  <c:v>1.07</c:v>
                </c:pt>
                <c:pt idx="5">
                  <c:v>0.24</c:v>
                </c:pt>
                <c:pt idx="6">
                  <c:v>0.86</c:v>
                </c:pt>
                <c:pt idx="7">
                  <c:v>0.83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D90-41D8-9DF2-41FD4E03B5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54566511"/>
        <c:axId val="1022762687"/>
      </c:barChart>
      <c:catAx>
        <c:axId val="11545665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022762687"/>
        <c:crosses val="autoZero"/>
        <c:auto val="1"/>
        <c:lblAlgn val="ctr"/>
        <c:lblOffset val="100"/>
        <c:noMultiLvlLbl val="0"/>
      </c:catAx>
      <c:valAx>
        <c:axId val="10227626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1545665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'Dejenerasyon alanı'!$D$2</c:f>
              <c:strCache>
                <c:ptCount val="1"/>
                <c:pt idx="0">
                  <c:v>Dejenerasyon alanı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'Dejenerasyon alanı'!$C$3:$C$10</c:f>
              <c:strCache>
                <c:ptCount val="8"/>
                <c:pt idx="0">
                  <c:v>Dx-7</c:v>
                </c:pt>
                <c:pt idx="1">
                  <c:v>Dx-21</c:v>
                </c:pt>
                <c:pt idx="2">
                  <c:v>Sham-7</c:v>
                </c:pt>
                <c:pt idx="3">
                  <c:v>Sham-21</c:v>
                </c:pt>
                <c:pt idx="4">
                  <c:v>E5-7</c:v>
                </c:pt>
                <c:pt idx="5">
                  <c:v>E5-21</c:v>
                </c:pt>
                <c:pt idx="6">
                  <c:v>E10-7</c:v>
                </c:pt>
                <c:pt idx="7">
                  <c:v>E10-21</c:v>
                </c:pt>
              </c:strCache>
            </c:strRef>
          </c:cat>
          <c:val>
            <c:numRef>
              <c:f>'Dejenerasyon alanı'!$D$3:$D$10</c:f>
              <c:numCache>
                <c:formatCode>General</c:formatCode>
                <c:ptCount val="8"/>
                <c:pt idx="0">
                  <c:v>10540.666666666666</c:v>
                </c:pt>
                <c:pt idx="1">
                  <c:v>6650.166666666667</c:v>
                </c:pt>
                <c:pt idx="2">
                  <c:v>62109.666666666664</c:v>
                </c:pt>
                <c:pt idx="3">
                  <c:v>45610.333333333336</c:v>
                </c:pt>
                <c:pt idx="4">
                  <c:v>189865.33333333334</c:v>
                </c:pt>
                <c:pt idx="5">
                  <c:v>20766</c:v>
                </c:pt>
                <c:pt idx="6">
                  <c:v>29768</c:v>
                </c:pt>
                <c:pt idx="7">
                  <c:v>37739.333333333336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D9F-4A77-B549-9B09D40D4F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55571983"/>
        <c:axId val="1289730655"/>
      </c:barChart>
      <c:catAx>
        <c:axId val="11555719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289730655"/>
        <c:crosses val="autoZero"/>
        <c:auto val="1"/>
        <c:lblAlgn val="ctr"/>
        <c:lblOffset val="100"/>
        <c:noMultiLvlLbl val="0"/>
      </c:catAx>
      <c:valAx>
        <c:axId val="12897306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15557198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'Granülasyon alanı'!$B$1</c:f>
              <c:strCache>
                <c:ptCount val="1"/>
                <c:pt idx="0">
                  <c:v>Granülasyon alanı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'Granülasyon alanı'!$A$2:$A$9</c:f>
              <c:strCache>
                <c:ptCount val="8"/>
                <c:pt idx="0">
                  <c:v>Dx-7</c:v>
                </c:pt>
                <c:pt idx="1">
                  <c:v>Dx-21</c:v>
                </c:pt>
                <c:pt idx="2">
                  <c:v>Sham-7</c:v>
                </c:pt>
                <c:pt idx="3">
                  <c:v>Sham-21</c:v>
                </c:pt>
                <c:pt idx="4">
                  <c:v>E5-7</c:v>
                </c:pt>
                <c:pt idx="5">
                  <c:v>E5-21</c:v>
                </c:pt>
                <c:pt idx="6">
                  <c:v>E10-7</c:v>
                </c:pt>
                <c:pt idx="7">
                  <c:v>E10-21</c:v>
                </c:pt>
              </c:strCache>
            </c:strRef>
          </c:cat>
          <c:val>
            <c:numRef>
              <c:f>'Granülasyon alanı'!$B$2:$B$9</c:f>
              <c:numCache>
                <c:formatCode>General</c:formatCode>
                <c:ptCount val="8"/>
                <c:pt idx="0">
                  <c:v>141499.20000000001</c:v>
                </c:pt>
                <c:pt idx="1">
                  <c:v>41645.666666666664</c:v>
                </c:pt>
                <c:pt idx="2">
                  <c:v>171470.16666666666</c:v>
                </c:pt>
                <c:pt idx="3">
                  <c:v>33428.333333333336</c:v>
                </c:pt>
                <c:pt idx="4">
                  <c:v>141866.5</c:v>
                </c:pt>
                <c:pt idx="5">
                  <c:v>48579</c:v>
                </c:pt>
                <c:pt idx="6">
                  <c:v>104018.83333333333</c:v>
                </c:pt>
                <c:pt idx="7">
                  <c:v>35373.166666666664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161-40DE-88F9-61C25BCB12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90262319"/>
        <c:axId val="1156107503"/>
      </c:barChart>
      <c:catAx>
        <c:axId val="12902623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156107503"/>
        <c:crosses val="autoZero"/>
        <c:auto val="1"/>
        <c:lblAlgn val="ctr"/>
        <c:lblOffset val="100"/>
        <c:noMultiLvlLbl val="0"/>
      </c:catAx>
      <c:valAx>
        <c:axId val="1156107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2902623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Selim Zırh</dc:creator>
  <cp:keywords/>
  <dc:description/>
  <cp:lastModifiedBy>Selim Zırh</cp:lastModifiedBy>
  <cp:revision>3</cp:revision>
  <dcterms:created xsi:type="dcterms:W3CDTF">2021-08-05T08:24:00Z</dcterms:created>
  <dcterms:modified xsi:type="dcterms:W3CDTF">2021-08-05T13:22:00Z</dcterms:modified>
</cp:coreProperties>
</file>