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F3864"/>
          <w:sz w:val="40"/>
          <w:szCs w:val="40"/>
        </w:rPr>
        <w:t xml:space="preserve">Renewable Energy Generation Forecasting</w:t>
      </w:r>
    </w:p>
    <w:p>
      <w:pPr>
        <w:spacing w:after="80" w:before="0"/>
        <w:jc w:val="center"/>
      </w:pPr>
      <w:r>
        <w:rPr>
          <w:rFonts w:ascii="Arial" w:cs="Arial" w:eastAsia="Arial" w:hAnsi="Arial"/>
          <w:i/>
          <w:iCs/>
          <w:color w:val="2E5596"/>
          <w:sz w:val="26"/>
          <w:szCs w:val="26"/>
        </w:rPr>
        <w:t xml:space="preserve">A Detailed Technical Solution Proposal</w:t>
      </w:r>
    </w:p>
    <w:p>
      <w:pPr>
        <w:pBdr>
          <w:bottom w:val="single" w:color="2E5596" w:sz="6" w:space="1"/>
        </w:pBdr>
        <w:spacing w:after="480" w:before="0"/>
        <w:jc w:val="center"/>
      </w:pPr>
      <w:r>
        <w:rPr>
          <w:rFonts w:ascii="Arial" w:cs="Arial" w:eastAsia="Arial" w:hAnsi="Arial"/>
          <w:color w:val="555555"/>
          <w:sz w:val="22"/>
          <w:szCs w:val="22"/>
        </w:rPr>
        <w:t xml:space="preserve">Using LightGBM with Physics-Informed Feature Engineering</w:t>
      </w:r>
    </w:p>
    <w:p>
      <w:r>
        <w:t xml:space="preserve"/>
      </w:r>
    </w:p>
    <w:p>
      <w:pPr>
        <w:pStyle w:val="Heading1"/>
      </w:pPr>
      <w:r>
        <w:rPr>
          <w:rFonts w:ascii="Arial" w:cs="Arial" w:eastAsia="Arial" w:hAnsi="Arial"/>
          <w:b/>
          <w:bCs/>
          <w:color w:val="1F3864"/>
          <w:sz w:val="32"/>
          <w:szCs w:val="32"/>
        </w:rPr>
        <w:t xml:space="preserve">Section 1: Understanding the Problem</w:t>
      </w:r>
    </w:p>
    <w:p>
      <w:r>
        <w:t xml:space="preserve"/>
      </w:r>
    </w:p>
    <w:p>
      <w:pPr>
        <w:spacing w:after="120" w:before="80" w:line="320"/>
        <w:jc w:val="both"/>
      </w:pPr>
      <w:r>
        <w:rPr>
          <w:rFonts w:ascii="Arial" w:cs="Arial" w:eastAsia="Arial" w:hAnsi="Arial"/>
          <w:sz w:val="22"/>
          <w:szCs w:val="22"/>
        </w:rPr>
        <w:t xml:space="preserve">At the heart of this problem lies a fundamental tension that every grid operator lives with every single day. Renewable energy sources like wind and solar are inherently variable. The sun does not shine at a consistent intensity, and the wind does not blow at a predictable speed. Yet the power grid demands balance at every moment. When too much power flows into the grid, voltages rise, equipment strains, and in the worst cases, generators trip offline automatically to protect themselves. When too little power is available, frequency drops, and grid operators are forced to fire up expensive backup plants on short notice, paying a premium for energy they should have planned for.</w:t>
      </w:r>
    </w:p>
    <w:p>
      <w:r>
        <w:t xml:space="preserve"/>
      </w:r>
    </w:p>
    <w:p>
      <w:pPr>
        <w:spacing w:after="120" w:before="80" w:line="320"/>
        <w:jc w:val="both"/>
      </w:pPr>
      <w:r>
        <w:rPr>
          <w:rFonts w:ascii="Arial" w:cs="Arial" w:eastAsia="Arial" w:hAnsi="Arial"/>
          <w:sz w:val="22"/>
          <w:szCs w:val="22"/>
        </w:rPr>
        <w:t xml:space="preserve">This is not an abstract engineering problem. Every megawatt-hour of excess generation that gets wasted represents real money and real inefficiency. Every megawatt-hour of shortfall that forces a diesel or gas peaker plant to spin up represents even more cost, and more carbon emissions that undermine the very case for renewable investment. The stakes are high, and the solution has to be practical, not just technically elegant.</w:t>
      </w:r>
    </w:p>
    <w:p>
      <w:r>
        <w:t xml:space="preserve"/>
      </w:r>
    </w:p>
    <w:p>
      <w:pPr>
        <w:spacing w:after="120" w:before="80" w:line="320"/>
        <w:jc w:val="both"/>
      </w:pPr>
      <w:r>
        <w:rPr>
          <w:rFonts w:ascii="Arial" w:cs="Arial" w:eastAsia="Arial" w:hAnsi="Arial"/>
          <w:sz w:val="22"/>
          <w:szCs w:val="22"/>
        </w:rPr>
        <w:t xml:space="preserve">What makes this problem genuinely difficult is the non-linear nature of power generation physics. A wind turbine does not produce power in a straight line as wind speed increases. Below a cut-in speed of roughly 3 to 4 metres per second, it produces nothing at all. Then it ramps up steeply, following what engineers call a power curve, before it hits rated capacity. If winds exceed a safe upper limit, typically around 25 metres per second, the turbine shuts off entirely to prevent mechanical damage. Solar panels face a similarly complex relationship with irradiance, cloud cover, temperature, and the angle of the sun. A traditional regression model or a rule-based physics equation struggles to learn these sharp thresholds reliably from data. This is precisely where machine learning, and specifically LightGBM, becomes the right tool.</w:t>
      </w:r>
    </w:p>
    <w:p>
      <w:r>
        <w:t xml:space="preserve"/>
      </w:r>
    </w:p>
    <w:p>
      <w:pPr>
        <w:spacing w:after="120" w:before="80" w:line="320"/>
        <w:jc w:val="both"/>
      </w:pPr>
      <w:r>
        <w:rPr>
          <w:rFonts w:ascii="Arial" w:cs="Arial" w:eastAsia="Arial" w:hAnsi="Arial"/>
          <w:sz w:val="22"/>
          <w:szCs w:val="22"/>
        </w:rPr>
        <w:t xml:space="preserve">The goal of this solution is to build a forecasting engine that predicts power generation in 15-minute intervals across a 24-hour horizon, producing not just a single point estimate but a range of outcomes, from a conservative low estimate to an optimistic high, so that grid dispatchers can make informed decisions about reserves and scheduling.</w:t>
      </w:r>
    </w:p>
    <w:p>
      <w:r>
        <w:t xml:space="preserve"/>
      </w:r>
    </w:p>
    <w:p>
      <w:pPr>
        <w:pStyle w:val="Heading1"/>
      </w:pPr>
      <w:r>
        <w:rPr>
          <w:rFonts w:ascii="Arial" w:cs="Arial" w:eastAsia="Arial" w:hAnsi="Arial"/>
          <w:b/>
          <w:bCs/>
          <w:color w:val="1F3864"/>
          <w:sz w:val="32"/>
          <w:szCs w:val="32"/>
        </w:rPr>
        <w:t xml:space="preserve">Section 2: The Approach to Modeling Solar and Wind Generation</w:t>
      </w:r>
    </w:p>
    <w:p>
      <w:r>
        <w:t xml:space="preserve"/>
      </w:r>
    </w:p>
    <w:p>
      <w:pPr>
        <w:spacing w:after="120" w:before="80" w:line="320"/>
        <w:jc w:val="both"/>
      </w:pPr>
      <w:r>
        <w:rPr>
          <w:rFonts w:ascii="Arial" w:cs="Arial" w:eastAsia="Arial" w:hAnsi="Arial"/>
          <w:sz w:val="22"/>
          <w:szCs w:val="22"/>
        </w:rPr>
        <w:t xml:space="preserve">The core architecture of this solution is built around LightGBM, a gradient boosting framework developed by Microsoft that has consistently outperformed other tree-based methods on tabular data problems with complex, non-linear interactions. The decision to use LightGBM over alternatives like XGBoost or deep learning models such as LSTMs was deliberate and is grounded in several practical considerations that matter specifically for this use case.</w:t>
      </w:r>
    </w:p>
    <w:p>
      <w:r>
        <w:t xml:space="preserve"/>
      </w:r>
    </w:p>
    <w:p>
      <w:pPr>
        <w:spacing w:after="80" w:before="200"/>
      </w:pPr>
      <w:r>
        <w:rPr>
          <w:rFonts w:ascii="Arial" w:cs="Arial" w:eastAsia="Arial" w:hAnsi="Arial"/>
          <w:b/>
          <w:bCs/>
          <w:color w:val="2E5596"/>
          <w:sz w:val="24"/>
          <w:szCs w:val="24"/>
        </w:rPr>
        <w:t xml:space="preserve">Why LightGBM Over Deep Learning</w:t>
      </w:r>
    </w:p>
    <w:p>
      <w:pPr>
        <w:spacing w:after="120" w:before="80" w:line="320"/>
        <w:jc w:val="both"/>
      </w:pPr>
      <w:r>
        <w:rPr>
          <w:rFonts w:ascii="Arial" w:cs="Arial" w:eastAsia="Arial" w:hAnsi="Arial"/>
          <w:sz w:val="22"/>
          <w:szCs w:val="22"/>
        </w:rPr>
        <w:t xml:space="preserve">LSTM networks are powerful, but they require large volumes of data to train reliably, they are slow to retrain when data characteristics shift, and they produce forecasts that are essentially impossible to explain to a grid operator who needs to know why the system is predicting a sudden dip in output at 2 PM. LightGBM, on the other hand, trains in minutes rather than hours, handles missing data gracefully, and produces feature importance scores that tell a clear story: today's forecast dip is driven primarily by a predicted cloud cover spike, not by model uncertainty.</w:t>
      </w:r>
    </w:p>
    <w:p>
      <w:r>
        <w:t xml:space="preserve"/>
      </w:r>
    </w:p>
    <w:p>
      <w:pPr>
        <w:spacing w:after="120" w:before="80" w:line="320"/>
        <w:jc w:val="both"/>
      </w:pPr>
      <w:r>
        <w:rPr>
          <w:rFonts w:ascii="Arial" w:cs="Arial" w:eastAsia="Arial" w:hAnsi="Arial"/>
          <w:sz w:val="22"/>
          <w:szCs w:val="22"/>
        </w:rPr>
        <w:t xml:space="preserve">XGBoost, while similar in principle, uses a level-wise tree growth strategy that divides computational effort uniformly across the tree. LightGBM uses leaf-wise growth, which means it aggressively focuses on the branches of the decision tree that are generating the largest errors. For power forecasting, this matters enormously. The moments that are hardest to predict, a sudden storm front moving through a wind corridor, a transient cloud obscuring a large solar field, are precisely the moments where the grid needs the most accurate information. Leaf-wise growth naturally directs the model's attention to those hard cases.</w:t>
      </w:r>
    </w:p>
    <w:p>
      <w:r>
        <w:t xml:space="preserve"/>
      </w:r>
    </w:p>
    <w:p>
      <w:pPr>
        <w:spacing w:after="80" w:before="200"/>
      </w:pPr>
      <w:r>
        <w:rPr>
          <w:rFonts w:ascii="Arial" w:cs="Arial" w:eastAsia="Arial" w:hAnsi="Arial"/>
          <w:b/>
          <w:bCs/>
          <w:color w:val="2E5596"/>
          <w:sz w:val="24"/>
          <w:szCs w:val="24"/>
        </w:rPr>
        <w:t xml:space="preserve">Separate Models for Solar and Wind</w:t>
      </w:r>
    </w:p>
    <w:p>
      <w:pPr>
        <w:spacing w:after="120" w:before="80" w:line="320"/>
        <w:jc w:val="both"/>
      </w:pPr>
      <w:r>
        <w:rPr>
          <w:rFonts w:ascii="Arial" w:cs="Arial" w:eastAsia="Arial" w:hAnsi="Arial"/>
          <w:sz w:val="22"/>
          <w:szCs w:val="22"/>
        </w:rPr>
        <w:t xml:space="preserve">Rather than training a single unified model for all generation assets, the architecture trains separate LightGBM models for solar generation and wind generation. This is not redundancy, it is physical correctness. The features that matter for solar output are dominated by irradiance, solar zenith angle, and cloud optical depth. The features that matter for wind output are dominated by wind speed at hub height, wind direction, atmospheric pressure gradients, and turbulence intensity. Forcing a single model to learn both simultaneously increases noise and reduces accuracy for both. Separate models allow each to be tuned to the physical reality of its generation type.</w:t>
      </w:r>
    </w:p>
    <w:p>
      <w:r>
        <w:t xml:space="preserve"/>
      </w:r>
    </w:p>
    <w:p>
      <w:pPr>
        <w:spacing w:after="120" w:before="80" w:line="320"/>
        <w:jc w:val="both"/>
      </w:pPr>
      <w:r>
        <w:rPr>
          <w:rFonts w:ascii="Arial" w:cs="Arial" w:eastAsia="Arial" w:hAnsi="Arial"/>
          <w:sz w:val="22"/>
          <w:szCs w:val="22"/>
        </w:rPr>
        <w:t xml:space="preserve">For hybrid plants that contain both solar and wind assets, the solution forecasts each component separately and combines them at the output stage, with the combined forecast capped at the plant's total installed capacity.</w:t>
      </w:r>
    </w:p>
    <w:p>
      <w:r>
        <w:t xml:space="preserve"/>
      </w:r>
    </w:p>
    <w:p>
      <w:pPr>
        <w:spacing w:after="80" w:before="200"/>
      </w:pPr>
      <w:r>
        <w:rPr>
          <w:rFonts w:ascii="Arial" w:cs="Arial" w:eastAsia="Arial" w:hAnsi="Arial"/>
          <w:b/>
          <w:bCs/>
          <w:color w:val="2E5596"/>
          <w:sz w:val="24"/>
          <w:szCs w:val="24"/>
        </w:rPr>
        <w:t xml:space="preserve">Quantile Forecasting: Moving Beyond the Single Number</w:t>
      </w:r>
    </w:p>
    <w:p>
      <w:pPr>
        <w:spacing w:after="120" w:before="80" w:line="320"/>
        <w:jc w:val="both"/>
      </w:pPr>
      <w:r>
        <w:rPr>
          <w:rFonts w:ascii="Arial" w:cs="Arial" w:eastAsia="Arial" w:hAnsi="Arial"/>
          <w:sz w:val="22"/>
          <w:szCs w:val="22"/>
        </w:rPr>
        <w:t xml:space="preserve">One of the most important design choices in this solution is the decision to produce three forecast outputs simultaneously rather than one. LightGBM supports a quantile regression objective, which means we can train three versions of the model simultaneously: one targeting the 10th percentile of expected output (the pessimistic scenario), one targeting the 50th percentile (the median, most-likely scenario), and one targeting the 90th percentile (the optimistic scenario).</w:t>
      </w:r>
    </w:p>
    <w:p>
      <w:r>
        <w:t xml:space="preserve"/>
      </w:r>
    </w:p>
    <w:p>
      <w:pPr>
        <w:spacing w:after="120" w:before="80" w:line="320"/>
        <w:jc w:val="both"/>
      </w:pPr>
      <w:r>
        <w:rPr>
          <w:rFonts w:ascii="Arial" w:cs="Arial" w:eastAsia="Arial" w:hAnsi="Arial"/>
          <w:sz w:val="22"/>
          <w:szCs w:val="22"/>
        </w:rPr>
        <w:t xml:space="preserve">In practical terms, this means that for every 15-minute block in the next day, the system outputs three numbers. The P50 value is what the grid operator uses to schedule generation. The gap between P10 and P90 is what tells the operator how confident to be in that schedule. A narrow gap means the weather forecast is stable and the prediction is reliable. A wide gap means significant uncertainty is present, and the operator should ensure backup capacity is standing by. This information is currently missing from most forecasting systems, and its absence forces dispatchers to make conservative assumptions that waste money.</w:t>
      </w:r>
    </w:p>
    <w:p>
      <w:r>
        <w:t xml:space="preserve"/>
      </w:r>
    </w:p>
    <w:p>
      <w:pPr>
        <w:pStyle w:val="Heading1"/>
      </w:pPr>
      <w:r>
        <w:rPr>
          <w:rFonts w:ascii="Arial" w:cs="Arial" w:eastAsia="Arial" w:hAnsi="Arial"/>
          <w:b/>
          <w:bCs/>
          <w:color w:val="1F3864"/>
          <w:sz w:val="32"/>
          <w:szCs w:val="32"/>
        </w:rPr>
        <w:t xml:space="preserve">Section 3: Data Pipeline and Feature Engineering</w:t>
      </w:r>
    </w:p>
    <w:p>
      <w:r>
        <w:t xml:space="preserve"/>
      </w:r>
    </w:p>
    <w:p>
      <w:pPr>
        <w:spacing w:after="120" w:before="80" w:line="320"/>
        <w:jc w:val="both"/>
      </w:pPr>
      <w:r>
        <w:rPr>
          <w:rFonts w:ascii="Arial" w:cs="Arial" w:eastAsia="Arial" w:hAnsi="Arial"/>
          <w:sz w:val="22"/>
          <w:szCs w:val="22"/>
        </w:rPr>
        <w:t xml:space="preserve">A model is only as good as the data it learns from. The data pipeline in this solution is designed around a simple principle: every feature the model sees should carry genuine physical meaning. There are no arbitrary transformations here. Each engineering decision is grounded in how energy generation actually works.</w:t>
      </w:r>
    </w:p>
    <w:p>
      <w:r>
        <w:t xml:space="preserve"/>
      </w:r>
    </w:p>
    <w:p>
      <w:pPr>
        <w:spacing w:after="80" w:before="200"/>
      </w:pPr>
      <w:r>
        <w:rPr>
          <w:rFonts w:ascii="Arial" w:cs="Arial" w:eastAsia="Arial" w:hAnsi="Arial"/>
          <w:b/>
          <w:bCs/>
          <w:color w:val="2E5596"/>
          <w:sz w:val="24"/>
          <w:szCs w:val="24"/>
        </w:rPr>
        <w:t xml:space="preserve">Physics-Informed Feature Engineering</w:t>
      </w:r>
    </w:p>
    <w:p>
      <w:pPr>
        <w:spacing w:after="120" w:before="80" w:line="320"/>
        <w:jc w:val="both"/>
      </w:pPr>
      <w:r>
        <w:rPr>
          <w:rFonts w:ascii="Arial" w:cs="Arial" w:eastAsia="Arial" w:hAnsi="Arial"/>
          <w:sz w:val="22"/>
          <w:szCs w:val="22"/>
        </w:rPr>
        <w:t xml:space="preserve">The most important feature engineering step for solar generation is the Solar Zenith Angle correction. Raw weather data from a Numerical Weather Prediction feed might report high irradiance values during certain hours, but if those hours correspond to nighttime at the plant's coordinates, the generation must be zero regardless of what the weather model says. The Solar Zenith Angle is calculated from the plant's latitude, longitude, and the exact timestamp. When this angle exceeds 90 degrees, irradiance is masked to zero. This single step prevents an entire category of nonsensical predictions.</w:t>
      </w:r>
    </w:p>
    <w:p>
      <w:r>
        <w:t xml:space="preserve"/>
      </w:r>
    </w:p>
    <w:p>
      <w:pPr>
        <w:spacing w:after="120" w:before="80" w:line="320"/>
        <w:jc w:val="both"/>
      </w:pPr>
      <w:r>
        <w:rPr>
          <w:rFonts w:ascii="Arial" w:cs="Arial" w:eastAsia="Arial" w:hAnsi="Arial"/>
          <w:sz w:val="22"/>
          <w:szCs w:val="22"/>
        </w:rPr>
        <w:t xml:space="preserve">For wind generation, raw wind direction data expressed as a compass bearing between 0 and 360 degrees creates a mathematical problem: the model would see 359 degrees and 1 degree as being almost 360 units apart, when physically they represent nearly the same wind direction. The solution converts wind direction into its U and V vector components, which represent the eastward and northward components of the wind velocity. This transformation is standard practice in meteorology and ensures the model understands wind direction in a geometrically correct way.</w:t>
      </w:r>
    </w:p>
    <w:p>
      <w:r>
        <w:t xml:space="preserve"/>
      </w:r>
    </w:p>
    <w:p>
      <w:pPr>
        <w:spacing w:after="120" w:before="80" w:line="320"/>
        <w:jc w:val="both"/>
      </w:pPr>
      <w:r>
        <w:rPr>
          <w:rFonts w:ascii="Arial" w:cs="Arial" w:eastAsia="Arial" w:hAnsi="Arial"/>
          <w:sz w:val="22"/>
          <w:szCs w:val="22"/>
        </w:rPr>
        <w:t xml:space="preserve">Hub height wind speed is another critical correction. The weather feed typically provides wind speed at a standard height, often 10 metres or 100 metres above ground. Wind turbines operate at hub heights that vary from 80 to 140 metres depending on the asset. Wind speed changes with height according to a power law relationship, and this correction is applied using the plant's recorded hub height to translate the NWP wind speed to the actual height at which the rotor operates.</w:t>
      </w:r>
    </w:p>
    <w:p>
      <w:r>
        <w:t xml:space="preserve"/>
      </w:r>
    </w:p>
    <w:p>
      <w:pPr>
        <w:spacing w:after="80" w:before="200"/>
      </w:pPr>
      <w:r>
        <w:rPr>
          <w:rFonts w:ascii="Arial" w:cs="Arial" w:eastAsia="Arial" w:hAnsi="Arial"/>
          <w:b/>
          <w:bCs/>
          <w:color w:val="2E5596"/>
          <w:sz w:val="24"/>
          <w:szCs w:val="24"/>
        </w:rPr>
        <w:t xml:space="preserve">Lag and Rolling Features</w:t>
      </w:r>
    </w:p>
    <w:p>
      <w:pPr>
        <w:spacing w:after="120" w:before="80" w:line="320"/>
        <w:jc w:val="both"/>
      </w:pPr>
      <w:r>
        <w:rPr>
          <w:rFonts w:ascii="Arial" w:cs="Arial" w:eastAsia="Arial" w:hAnsi="Arial"/>
          <w:sz w:val="22"/>
          <w:szCs w:val="22"/>
        </w:rPr>
        <w:t xml:space="preserve">Tree-based models do not inherently understand time sequences the way recurrent neural networks do. To give the model a sense of temporal context, we engineer lag features from the historical generation data. The most important lag is the T-minus-15-minute actual output, meaning the most recent real generation reading from the SCADA system. This single feature is the strongest predictor for the next interval because weather systems change gradually and generation tends to have momentum. We also include a T-minus-1-hour lag and a T-minus-24-hour lag, the latter capturing the pattern from the same time on the previous day, which is particularly useful for capturing diurnal solar cycles.</w:t>
      </w:r>
    </w:p>
    <w:p>
      <w:r>
        <w:t xml:space="preserve"/>
      </w:r>
    </w:p>
    <w:p>
      <w:pPr>
        <w:spacing w:after="120" w:before="80" w:line="320"/>
        <w:jc w:val="both"/>
      </w:pPr>
      <w:r>
        <w:rPr>
          <w:rFonts w:ascii="Arial" w:cs="Arial" w:eastAsia="Arial" w:hAnsi="Arial"/>
          <w:sz w:val="22"/>
          <w:szCs w:val="22"/>
        </w:rPr>
        <w:t xml:space="preserve">In addition to lag features, we compute rolling statistical features over windows of 1 hour, 3 hours, and 6 hours. The rolling mean of generation tells the model whether output has been trending up or down. The rolling standard deviation tells it how volatile the recent period has been. These features collectively give the model a rich picture of the current weather trajectory, not just a snapshot.</w:t>
      </w:r>
    </w:p>
    <w:p>
      <w:r>
        <w:t xml:space="preserve"/>
      </w:r>
    </w:p>
    <w:p>
      <w:pPr>
        <w:spacing w:after="80" w:before="200"/>
      </w:pPr>
      <w:r>
        <w:rPr>
          <w:rFonts w:ascii="Arial" w:cs="Arial" w:eastAsia="Arial" w:hAnsi="Arial"/>
          <w:b/>
          <w:bCs/>
          <w:color w:val="2E5596"/>
          <w:sz w:val="24"/>
          <w:szCs w:val="24"/>
        </w:rPr>
        <w:t xml:space="preserve">Plant Load Factor Normalization</w:t>
      </w:r>
    </w:p>
    <w:p>
      <w:pPr>
        <w:spacing w:after="120" w:before="80" w:line="320"/>
        <w:jc w:val="both"/>
      </w:pPr>
      <w:r>
        <w:rPr>
          <w:rFonts w:ascii="Arial" w:cs="Arial" w:eastAsia="Arial" w:hAnsi="Arial"/>
          <w:sz w:val="22"/>
          <w:szCs w:val="22"/>
        </w:rPr>
        <w:t xml:space="preserve">Rather than predicting raw megawatt output, the model is trained to predict the Plant Load Factor, which is actual generation expressed as a fraction of installed capacity. This normalization is essential for enabling the model to learn across plants of vastly different sizes. A 10 MW plant generating at 70% capacity and a 500 MW plant generating at 70% capacity are experiencing the same weather-driven physics. By normalizing to PLF, a single model can learn generalizable patterns across the entire fleet. The final output is then scaled back to megawatts by multiplying the predicted PLF by the plant's installed capacity.</w:t>
      </w:r>
    </w:p>
    <w:p>
      <w:r>
        <w:t xml:space="preserve"/>
      </w:r>
    </w:p>
    <w:p>
      <w:pPr>
        <w:spacing w:after="80" w:before="200"/>
      </w:pPr>
      <w:r>
        <w:rPr>
          <w:rFonts w:ascii="Arial" w:cs="Arial" w:eastAsia="Arial" w:hAnsi="Arial"/>
          <w:b/>
          <w:bCs/>
          <w:color w:val="2E5596"/>
          <w:sz w:val="24"/>
          <w:szCs w:val="24"/>
        </w:rPr>
        <w:t xml:space="preserve">Handling Geography and Asset Variability</w:t>
      </w:r>
    </w:p>
    <w:p>
      <w:pPr>
        <w:spacing w:after="120" w:before="80" w:line="320"/>
        <w:jc w:val="both"/>
      </w:pPr>
      <w:r>
        <w:rPr>
          <w:rFonts w:ascii="Arial" w:cs="Arial" w:eastAsia="Arial" w:hAnsi="Arial"/>
          <w:sz w:val="22"/>
          <w:szCs w:val="22"/>
        </w:rPr>
        <w:t xml:space="preserve">Each plant in the fleet exists in a specific micro-climate. A wind farm on a coastal ridge experiences fundamentally different turbulence and speed characteristics than a wind farm in a flat agricultural plain, even if the large-scale NWP forecast for their region is identical. Similarly, a solar farm at a higher elevation may experience different atmospheric optical depth than one at sea level nearby.</w:t>
      </w:r>
    </w:p>
    <w:p>
      <w:r>
        <w:t xml:space="preserve"/>
      </w:r>
    </w:p>
    <w:p>
      <w:pPr>
        <w:spacing w:after="120" w:before="80" w:line="320"/>
        <w:jc w:val="both"/>
      </w:pPr>
      <w:r>
        <w:rPr>
          <w:rFonts w:ascii="Arial" w:cs="Arial" w:eastAsia="Arial" w:hAnsi="Arial"/>
          <w:sz w:val="22"/>
          <w:szCs w:val="22"/>
        </w:rPr>
        <w:t xml:space="preserve">To handle this, the Plant ID is passed to the model as a native categorical feature. LightGBM handles categorical features efficiently without requiring one-hot encoding. By learning a categorical embedding for each plant, the model captures site-specific bias, the tendency of a particular plant to systematically over-perform or under-perform relative to what the weather inputs would naively suggest. This is particularly valuable for wind farms where local topography creates consistent turbulence effects that no NWP grid cell can resolve.</w:t>
      </w:r>
    </w:p>
    <w:p>
      <w:r>
        <w:t xml:space="preserve"/>
      </w:r>
    </w:p>
    <w:p>
      <w:pPr>
        <w:pStyle w:val="Heading1"/>
      </w:pPr>
      <w:r>
        <w:rPr>
          <w:rFonts w:ascii="Arial" w:cs="Arial" w:eastAsia="Arial" w:hAnsi="Arial"/>
          <w:b/>
          <w:bCs/>
          <w:color w:val="1F3864"/>
          <w:sz w:val="32"/>
          <w:szCs w:val="32"/>
        </w:rPr>
        <w:t xml:space="preserve">Section 4: Data Quality and Cleansing</w:t>
      </w:r>
    </w:p>
    <w:p>
      <w:r>
        <w:t xml:space="preserve"/>
      </w:r>
    </w:p>
    <w:p>
      <w:pPr>
        <w:spacing w:after="120" w:before="80" w:line="320"/>
        <w:jc w:val="both"/>
      </w:pPr>
      <w:r>
        <w:rPr>
          <w:rFonts w:ascii="Arial" w:cs="Arial" w:eastAsia="Arial" w:hAnsi="Arial"/>
          <w:sz w:val="22"/>
          <w:szCs w:val="22"/>
        </w:rPr>
        <w:t xml:space="preserve">Real-world SCADA data is messy. Sensors drift. Communication links fail. Equipment goes offline for maintenance. If these data quality issues are not addressed before training, the model will learn incorrect patterns. A generation reading of zero during a period of strong wind is not a weather-driven event if it was caused by a planned maintenance outage. Teaching the model to associate that weather state with zero output would corrupt its power curve learning.</w:t>
      </w:r>
    </w:p>
    <w:p>
      <w:r>
        <w:t xml:space="preserve"/>
      </w:r>
    </w:p>
    <w:p>
      <w:pPr>
        <w:spacing w:after="80" w:before="200"/>
      </w:pPr>
      <w:r>
        <w:rPr>
          <w:rFonts w:ascii="Arial" w:cs="Arial" w:eastAsia="Arial" w:hAnsi="Arial"/>
          <w:b/>
          <w:bCs/>
          <w:color w:val="2E5596"/>
          <w:sz w:val="24"/>
          <w:szCs w:val="24"/>
        </w:rPr>
        <w:t xml:space="preserve">Outage Flag Filtering</w:t>
      </w:r>
    </w:p>
    <w:p>
      <w:pPr>
        <w:spacing w:after="120" w:before="80" w:line="320"/>
        <w:jc w:val="both"/>
      </w:pPr>
      <w:r>
        <w:rPr>
          <w:rFonts w:ascii="Arial" w:cs="Arial" w:eastAsia="Arial" w:hAnsi="Arial"/>
          <w:sz w:val="22"/>
          <w:szCs w:val="22"/>
        </w:rPr>
        <w:t xml:space="preserve">The SCADA feed includes availability and outage flags for every asset at every timestamp. During the data ingestion step, any generation reading that corresponds to a flagged outage is excluded from the training dataset. This ensures the model only learns from periods where the plant was fully available to generate according to the weather conditions it experienced. These excluded periods are not deleted; they are flagged and retained for audit purposes.</w:t>
      </w:r>
    </w:p>
    <w:p>
      <w:r>
        <w:t xml:space="preserve"/>
      </w:r>
    </w:p>
    <w:p>
      <w:pPr>
        <w:spacing w:after="80" w:before="200"/>
      </w:pPr>
      <w:r>
        <w:rPr>
          <w:rFonts w:ascii="Arial" w:cs="Arial" w:eastAsia="Arial" w:hAnsi="Arial"/>
          <w:b/>
          <w:bCs/>
          <w:color w:val="2E5596"/>
          <w:sz w:val="24"/>
          <w:szCs w:val="24"/>
        </w:rPr>
        <w:t xml:space="preserve">Missing Data Imputation</w:t>
      </w:r>
    </w:p>
    <w:p>
      <w:pPr>
        <w:spacing w:after="120" w:before="80" w:line="320"/>
        <w:jc w:val="both"/>
      </w:pPr>
      <w:r>
        <w:rPr>
          <w:rFonts w:ascii="Arial" w:cs="Arial" w:eastAsia="Arial" w:hAnsi="Arial"/>
          <w:sz w:val="22"/>
          <w:szCs w:val="22"/>
        </w:rPr>
        <w:t xml:space="preserve">For short gaps in the data, typically less than one hour in duration, linear interpolation is applied. This is physically reasonable because weather conditions change gradually and generation follows suit. For longer gaps, a KNN imputation approach is used, which finds the most similar historical periods by weather conditions and uses their generation values to estimate the missing readings. In both cases, imputed values are flagged so they can be excluded from model evaluation metrics, ensuring we measure accuracy only against real observations.</w:t>
      </w:r>
    </w:p>
    <w:p>
      <w:r>
        <w:t xml:space="preserve"/>
      </w:r>
    </w:p>
    <w:p>
      <w:pPr>
        <w:spacing w:after="80" w:before="200"/>
      </w:pPr>
      <w:r>
        <w:rPr>
          <w:rFonts w:ascii="Arial" w:cs="Arial" w:eastAsia="Arial" w:hAnsi="Arial"/>
          <w:b/>
          <w:bCs/>
          <w:color w:val="2E5596"/>
          <w:sz w:val="24"/>
          <w:szCs w:val="24"/>
        </w:rPr>
        <w:t xml:space="preserve">Anomaly Detection</w:t>
      </w:r>
    </w:p>
    <w:p>
      <w:pPr>
        <w:spacing w:after="120" w:before="80" w:line="320"/>
        <w:jc w:val="both"/>
      </w:pPr>
      <w:r>
        <w:rPr>
          <w:rFonts w:ascii="Arial" w:cs="Arial" w:eastAsia="Arial" w:hAnsi="Arial"/>
          <w:sz w:val="22"/>
          <w:szCs w:val="22"/>
        </w:rPr>
        <w:t xml:space="preserve">Sensor errors sometimes produce readings that are physically impossible, such as generation values exceeding installed capacity, or irradiance readings at night. An automated anomaly detection layer flags records where the generation-to-PLF ratio falls outside physically plausible bounds given the observed weather inputs. These flagged records are reviewed and either corrected or excluded before training. This step is particularly important during the initial model build and whenever new sensor hardware is installed at a site.</w:t>
      </w:r>
    </w:p>
    <w:p>
      <w:r>
        <w:t xml:space="preserve"/>
      </w:r>
    </w:p>
    <w:p>
      <w:pPr>
        <w:pStyle w:val="Heading1"/>
      </w:pPr>
      <w:r>
        <w:rPr>
          <w:rFonts w:ascii="Arial" w:cs="Arial" w:eastAsia="Arial" w:hAnsi="Arial"/>
          <w:b/>
          <w:bCs/>
          <w:color w:val="1F3864"/>
          <w:sz w:val="32"/>
          <w:szCs w:val="32"/>
        </w:rPr>
        <w:t xml:space="preserve">Section 5: Model Training and Evaluation</w:t>
      </w:r>
    </w:p>
    <w:p>
      <w:r>
        <w:t xml:space="preserve"/>
      </w:r>
    </w:p>
    <w:p>
      <w:pPr>
        <w:spacing w:after="80" w:before="200"/>
      </w:pPr>
      <w:r>
        <w:rPr>
          <w:rFonts w:ascii="Arial" w:cs="Arial" w:eastAsia="Arial" w:hAnsi="Arial"/>
          <w:b/>
          <w:bCs/>
          <w:color w:val="2E5596"/>
          <w:sz w:val="24"/>
          <w:szCs w:val="24"/>
        </w:rPr>
        <w:t xml:space="preserve">Time-Series Cross Validation</w:t>
      </w:r>
    </w:p>
    <w:p>
      <w:pPr>
        <w:spacing w:after="120" w:before="80" w:line="320"/>
        <w:jc w:val="both"/>
      </w:pPr>
      <w:r>
        <w:rPr>
          <w:rFonts w:ascii="Arial" w:cs="Arial" w:eastAsia="Arial" w:hAnsi="Arial"/>
          <w:sz w:val="22"/>
          <w:szCs w:val="22"/>
        </w:rPr>
        <w:t xml:space="preserve">The single most important rule in time-series model evaluation is that the future can never be used to train the model. Random shuffling of data, which is standard practice in many machine learning pipelines, is explicitly prohibited here. If training data includes records from December and the validation set includes records from March, the model may inadvertently learn seasonal patterns that it would not have access to in real deployment.</w:t>
      </w:r>
    </w:p>
    <w:p>
      <w:r>
        <w:t xml:space="preserve"/>
      </w:r>
    </w:p>
    <w:p>
      <w:pPr>
        <w:spacing w:after="120" w:before="80" w:line="320"/>
        <w:jc w:val="both"/>
      </w:pPr>
      <w:r>
        <w:rPr>
          <w:rFonts w:ascii="Arial" w:cs="Arial" w:eastAsia="Arial" w:hAnsi="Arial"/>
          <w:sz w:val="22"/>
          <w:szCs w:val="22"/>
        </w:rPr>
        <w:t xml:space="preserve">Instead, a rolling time-series split is used. The model is trained on the first ten months of historical data, validated on month eleven, and tested on month twelve. This process is repeated by advancing the training window forward in time. The evaluation metrics reported are always from the held-out test period, where the model had no access to the data during training.</w:t>
      </w:r>
    </w:p>
    <w:p>
      <w:r>
        <w:t xml:space="preserve"/>
      </w:r>
    </w:p>
    <w:p>
      <w:pPr>
        <w:spacing w:after="80" w:before="200"/>
      </w:pPr>
      <w:r>
        <w:rPr>
          <w:rFonts w:ascii="Arial" w:cs="Arial" w:eastAsia="Arial" w:hAnsi="Arial"/>
          <w:b/>
          <w:bCs/>
          <w:color w:val="2E5596"/>
          <w:sz w:val="24"/>
          <w:szCs w:val="24"/>
        </w:rPr>
        <w:t xml:space="preserve">Baseline Comparisons</w:t>
      </w:r>
    </w:p>
    <w:p>
      <w:pPr>
        <w:spacing w:after="120" w:before="80" w:line="320"/>
        <w:jc w:val="both"/>
      </w:pPr>
      <w:r>
        <w:rPr>
          <w:rFonts w:ascii="Arial" w:cs="Arial" w:eastAsia="Arial" w:hAnsi="Arial"/>
          <w:sz w:val="22"/>
          <w:szCs w:val="22"/>
        </w:rPr>
        <w:t xml:space="preserve">No model evaluation is meaningful without a baseline. Two baselines are established for comparison. The first is a persistence baseline, which simply predicts that tomorrow's generation will be identical to today's. This is the simplest possible forecast and represents the minimum bar the model must clear to be worth deploying. The second is a climatological baseline, which predicts based on the historical average generation for that plant at that hour of day and month of year. A well-calibrated LightGBM model should substantially outperform both baselines on all metrics.</w:t>
      </w:r>
    </w:p>
    <w:p>
      <w:r>
        <w:t xml:space="preserve"/>
      </w:r>
    </w:p>
    <w:p>
      <w:pPr>
        <w:spacing w:after="80" w:before="200"/>
      </w:pPr>
      <w:r>
        <w:rPr>
          <w:rFonts w:ascii="Arial" w:cs="Arial" w:eastAsia="Arial" w:hAnsi="Arial"/>
          <w:b/>
          <w:bCs/>
          <w:color w:val="2E5596"/>
          <w:sz w:val="24"/>
          <w:szCs w:val="24"/>
        </w:rPr>
        <w:t xml:space="preserve">Evaluation Metrics</w:t>
      </w:r>
    </w:p>
    <w:p>
      <w:pPr>
        <w:spacing w:after="120" w:before="80" w:line="320"/>
        <w:jc w:val="both"/>
      </w:pPr>
      <w:r>
        <w:rPr>
          <w:rFonts w:ascii="Arial" w:cs="Arial" w:eastAsia="Arial" w:hAnsi="Arial"/>
          <w:sz w:val="22"/>
          <w:szCs w:val="22"/>
        </w:rPr>
        <w:t xml:space="preserve">Three primary metrics are tracked. The Root Mean Squared Error measures overall prediction accuracy in megawatts and penalises large errors more heavily than small ones, which is appropriate because large forecast errors have disproportionate operational consequences. The Mean Absolute Percentage Error measures relative accuracy and allows comparison across plants of different sizes. The Pinball Loss is used specifically to evaluate the quality of the quantile forecasts: it measures whether the P10 and P90 intervals are properly calibrated, meaning roughly 80% of actual observations fall within them. An interval that is too narrow is overconfident. An interval that is too wide is uninformative.</w:t>
      </w:r>
    </w:p>
    <w:p>
      <w:r>
        <w:t xml:space="preserve"/>
      </w:r>
    </w:p>
    <w:p>
      <w:pPr>
        <w:pStyle w:val="Heading1"/>
      </w:pPr>
      <w:r>
        <w:rPr>
          <w:rFonts w:ascii="Arial" w:cs="Arial" w:eastAsia="Arial" w:hAnsi="Arial"/>
          <w:b/>
          <w:bCs/>
          <w:color w:val="1F3864"/>
          <w:sz w:val="32"/>
          <w:szCs w:val="32"/>
        </w:rPr>
        <w:t xml:space="preserve">Section 6: Communicating Uncertainty to Grid Operators</w:t>
      </w:r>
    </w:p>
    <w:p>
      <w:r>
        <w:t xml:space="preserve"/>
      </w:r>
    </w:p>
    <w:p>
      <w:pPr>
        <w:spacing w:after="120" w:before="80" w:line="320"/>
        <w:jc w:val="both"/>
      </w:pPr>
      <w:r>
        <w:rPr>
          <w:rFonts w:ascii="Arial" w:cs="Arial" w:eastAsia="Arial" w:hAnsi="Arial"/>
          <w:sz w:val="22"/>
          <w:szCs w:val="22"/>
        </w:rPr>
        <w:t xml:space="preserve">The P10, P50, and P90 outputs from the model are not just statistical abstractions. They translate directly into actionable grid management decisions, and the output format is designed with this in mind.</w:t>
      </w:r>
    </w:p>
    <w:p>
      <w:r>
        <w:t xml:space="preserve"/>
      </w:r>
    </w:p>
    <w:p>
      <w:pPr>
        <w:spacing w:after="120" w:before="80" w:line="320"/>
        <w:jc w:val="both"/>
      </w:pPr>
      <w:r>
        <w:rPr>
          <w:rFonts w:ascii="Arial" w:cs="Arial" w:eastAsia="Arial" w:hAnsi="Arial"/>
          <w:sz w:val="22"/>
          <w:szCs w:val="22"/>
        </w:rPr>
        <w:t xml:space="preserve">The 96-block daily schedule submitted to the State Load Despatch Centre uses the P50 value as the scheduled generation quantity. This is the median forecast, the best single estimate of what the plant will produce. The difference between the P90 and P10 values, which we call the uncertainty band, is computed for each block and reported alongside the schedule. When this band is narrow, say less than 5% of installed capacity, the dispatcher is informed that this block is high-confidence and can be scheduled tightly. When the band is wide, say more than 20% of installed capacity, a flag is raised prompting the dispatcher to ensure sufficient balancing reserves are available for that period.</w:t>
      </w:r>
    </w:p>
    <w:p>
      <w:r>
        <w:t xml:space="preserve"/>
      </w:r>
    </w:p>
    <w:p>
      <w:pPr>
        <w:spacing w:after="120" w:before="80" w:line="320"/>
        <w:jc w:val="both"/>
      </w:pPr>
      <w:r>
        <w:rPr>
          <w:rFonts w:ascii="Arial" w:cs="Arial" w:eastAsia="Arial" w:hAnsi="Arial"/>
          <w:sz w:val="22"/>
          <w:szCs w:val="22"/>
        </w:rPr>
        <w:t xml:space="preserve">Critically, the system never allows a scheduled generation value to exceed the plant's installed capacity, and it forces all solar generation blocks to zero during night hours as determined by the Solar Zenith Angle calculation. These hard physical constraints are applied as post-processing rules after the model outputs its predictions, ensuring that no mathematically plausible but physically impossible value reaches the grid operator.</w:t>
      </w:r>
    </w:p>
    <w:p>
      <w:r>
        <w:t xml:space="preserve"/>
      </w:r>
    </w:p>
    <w:p>
      <w:pPr>
        <w:pStyle w:val="Heading1"/>
      </w:pPr>
      <w:r>
        <w:rPr>
          <w:rFonts w:ascii="Arial" w:cs="Arial" w:eastAsia="Arial" w:hAnsi="Arial"/>
          <w:b/>
          <w:bCs/>
          <w:color w:val="1F3864"/>
          <w:sz w:val="32"/>
          <w:szCs w:val="32"/>
        </w:rPr>
        <w:t xml:space="preserve">Section 7: Explainability</w:t>
      </w:r>
    </w:p>
    <w:p>
      <w:r>
        <w:t xml:space="preserve"/>
      </w:r>
    </w:p>
    <w:p>
      <w:pPr>
        <w:spacing w:after="120" w:before="80" w:line="320"/>
        <w:jc w:val="both"/>
      </w:pPr>
      <w:r>
        <w:rPr>
          <w:rFonts w:ascii="Arial" w:cs="Arial" w:eastAsia="Arial" w:hAnsi="Arial"/>
          <w:sz w:val="22"/>
          <w:szCs w:val="22"/>
        </w:rPr>
        <w:t xml:space="preserve">Explainability is not optional in grid operations. A grid operator who cannot understand why the forecasting system is predicting a sharp drop in solar output at 2 PM next Tuesday will not trust the forecast, and without trust, they will not use it. This is how technically capable systems fail in practice.</w:t>
      </w:r>
    </w:p>
    <w:p>
      <w:r>
        <w:t xml:space="preserve"/>
      </w:r>
    </w:p>
    <w:p>
      <w:pPr>
        <w:spacing w:after="120" w:before="80" w:line="320"/>
        <w:jc w:val="both"/>
      </w:pPr>
      <w:r>
        <w:rPr>
          <w:rFonts w:ascii="Arial" w:cs="Arial" w:eastAsia="Arial" w:hAnsi="Arial"/>
          <w:sz w:val="22"/>
          <w:szCs w:val="22"/>
        </w:rPr>
        <w:t xml:space="preserve">LightGBM provides native feature importance rankings that tell us, across the entire training dataset, which input features drove the most predictive power. Globally, this will typically show wind speed at hub height and GHI as the dominant features for wind and solar respectively, with lag features as strong secondary contributors. But global importance is not enough for operational use.</w:t>
      </w:r>
    </w:p>
    <w:p>
      <w:r>
        <w:t xml:space="preserve"/>
      </w:r>
    </w:p>
    <w:p>
      <w:pPr>
        <w:spacing w:after="120" w:before="80" w:line="320"/>
        <w:jc w:val="both"/>
      </w:pPr>
      <w:r>
        <w:rPr>
          <w:rFonts w:ascii="Arial" w:cs="Arial" w:eastAsia="Arial" w:hAnsi="Arial"/>
          <w:sz w:val="22"/>
          <w:szCs w:val="22"/>
        </w:rPr>
        <w:t xml:space="preserve">For each individual forecast, SHAP values are computed. SHAP, which stands for SHapley Additive exPlanations, is a method grounded in cooperative game theory that assigns a contribution score to each feature for each individual prediction. When a dispatcher looks at the forecast for a specific 15-minute block, they can see a breakdown that reads, in plain terms, the model is predicting 45 MW rather than the seasonal average of 70 MW primarily because cloud cover is forecast at 85% and irradiance is forecast at 120 W per square metre, which is well below the threshold needed for efficient generation. This kind of explanation is essential for building the operational trust that makes a forecasting system genuinely useful.</w:t>
      </w:r>
    </w:p>
    <w:p>
      <w:r>
        <w:t xml:space="preserve"/>
      </w:r>
    </w:p>
    <w:p>
      <w:pPr>
        <w:pStyle w:val="Heading1"/>
      </w:pPr>
      <w:r>
        <w:rPr>
          <w:rFonts w:ascii="Arial" w:cs="Arial" w:eastAsia="Arial" w:hAnsi="Arial"/>
          <w:b/>
          <w:bCs/>
          <w:color w:val="1F3864"/>
          <w:sz w:val="32"/>
          <w:szCs w:val="32"/>
        </w:rPr>
        <w:t xml:space="preserve">Section 8: System Architecture</w:t>
      </w:r>
    </w:p>
    <w:p>
      <w:r>
        <w:t xml:space="preserve"/>
      </w:r>
    </w:p>
    <w:p>
      <w:pPr>
        <w:spacing w:after="120" w:before="80" w:line="320"/>
        <w:jc w:val="both"/>
      </w:pPr>
      <w:r>
        <w:rPr>
          <w:rFonts w:ascii="Arial" w:cs="Arial" w:eastAsia="Arial" w:hAnsi="Arial"/>
          <w:sz w:val="22"/>
          <w:szCs w:val="22"/>
        </w:rPr>
        <w:t xml:space="preserve">The end-to-end architecture consists of four sequential layers, each with a specific responsibility. The architecture is designed to be modular so that individual components can be updated, replaced, or retrained without requiring the entire system to be rebuilt.</w:t>
      </w:r>
    </w:p>
    <w:p>
      <w:r>
        <w:t xml:space="preserve"/>
      </w:r>
    </w:p>
    <w:p>
      <w:pPr>
        <w:spacing w:after="80" w:before="200"/>
      </w:pPr>
      <w:r>
        <w:rPr>
          <w:rFonts w:ascii="Arial" w:cs="Arial" w:eastAsia="Arial" w:hAnsi="Arial"/>
          <w:b/>
          <w:bCs/>
          <w:color w:val="2E5596"/>
          <w:sz w:val="24"/>
          <w:szCs w:val="24"/>
        </w:rPr>
        <w:t xml:space="preserve">Layer 1: Ingestion</w:t>
      </w:r>
    </w:p>
    <w:p>
      <w:pPr>
        <w:spacing w:after="120" w:before="80" w:line="320"/>
        <w:jc w:val="both"/>
      </w:pPr>
      <w:r>
        <w:rPr>
          <w:rFonts w:ascii="Arial" w:cs="Arial" w:eastAsia="Arial" w:hAnsi="Arial"/>
          <w:sz w:val="22"/>
          <w:szCs w:val="22"/>
        </w:rPr>
        <w:t xml:space="preserve">The ingestion layer receives three categories of input. Static asset metadata, which includes plant capacity, technology type, coordinates, and hub height, is loaded once at startup and updated only when physical changes occur at a site. Dynamic NWP weather forecasts are ingested every 6 to 12 hours as they become available from the weather provider. Real-time SCADA generation data is ingested in 15-minute intervals. Each data source is validated at ingestion for schema compliance, completeness, and physical plausibility before being passed to the transformation layer.</w:t>
      </w:r>
    </w:p>
    <w:p>
      <w:r>
        <w:t xml:space="preserve"/>
      </w:r>
    </w:p>
    <w:p>
      <w:pPr>
        <w:spacing w:after="80" w:before="200"/>
      </w:pPr>
      <w:r>
        <w:rPr>
          <w:rFonts w:ascii="Arial" w:cs="Arial" w:eastAsia="Arial" w:hAnsi="Arial"/>
          <w:b/>
          <w:bCs/>
          <w:color w:val="2E5596"/>
          <w:sz w:val="24"/>
          <w:szCs w:val="24"/>
        </w:rPr>
        <w:t xml:space="preserve">Layer 2: Transformation</w:t>
      </w:r>
    </w:p>
    <w:p>
      <w:pPr>
        <w:spacing w:after="120" w:before="80" w:line="320"/>
        <w:jc w:val="both"/>
      </w:pPr>
      <w:r>
        <w:rPr>
          <w:rFonts w:ascii="Arial" w:cs="Arial" w:eastAsia="Arial" w:hAnsi="Arial"/>
          <w:sz w:val="22"/>
          <w:szCs w:val="22"/>
        </w:rPr>
        <w:t xml:space="preserve">The transformation layer applies all the feature engineering steps described in Section 3. Solar Zenith Angle correction, wind vectorization, hub height wind speed adjustment, lag feature construction, rolling window statistics, and PLF normalization are all executed here. The output of this layer is a structured feature matrix ready for model inference.</w:t>
      </w:r>
    </w:p>
    <w:p>
      <w:r>
        <w:t xml:space="preserve"/>
      </w:r>
    </w:p>
    <w:p>
      <w:pPr>
        <w:spacing w:after="80" w:before="200"/>
      </w:pPr>
      <w:r>
        <w:rPr>
          <w:rFonts w:ascii="Arial" w:cs="Arial" w:eastAsia="Arial" w:hAnsi="Arial"/>
          <w:b/>
          <w:bCs/>
          <w:color w:val="2E5596"/>
          <w:sz w:val="24"/>
          <w:szCs w:val="24"/>
        </w:rPr>
        <w:t xml:space="preserve">Layer 3: Prediction</w:t>
      </w:r>
    </w:p>
    <w:p>
      <w:pPr>
        <w:spacing w:after="120" w:before="80" w:line="320"/>
        <w:jc w:val="both"/>
      </w:pPr>
      <w:r>
        <w:rPr>
          <w:rFonts w:ascii="Arial" w:cs="Arial" w:eastAsia="Arial" w:hAnsi="Arial"/>
          <w:sz w:val="22"/>
          <w:szCs w:val="22"/>
        </w:rPr>
        <w:t xml:space="preserve">The prediction layer loads the trained LightGBM models and generates the P10, P50, and P90 forecasts for each plant across all 96 blocks of the next day. SHAP values are computed in this layer for the blocks where uncertainty is highest. Physical constraint checks are applied before any output leaves this layer.</w:t>
      </w:r>
    </w:p>
    <w:p>
      <w:r>
        <w:t xml:space="preserve"/>
      </w:r>
    </w:p>
    <w:p>
      <w:pPr>
        <w:spacing w:after="80" w:before="200"/>
      </w:pPr>
      <w:r>
        <w:rPr>
          <w:rFonts w:ascii="Arial" w:cs="Arial" w:eastAsia="Arial" w:hAnsi="Arial"/>
          <w:b/>
          <w:bCs/>
          <w:color w:val="2E5596"/>
          <w:sz w:val="24"/>
          <w:szCs w:val="24"/>
        </w:rPr>
        <w:t xml:space="preserve">Layer 4: Output and Dispatch</w:t>
      </w:r>
    </w:p>
    <w:p>
      <w:pPr>
        <w:spacing w:after="120" w:before="80" w:line="320"/>
        <w:jc w:val="both"/>
      </w:pPr>
      <w:r>
        <w:rPr>
          <w:rFonts w:ascii="Arial" w:cs="Arial" w:eastAsia="Arial" w:hAnsi="Arial"/>
          <w:sz w:val="22"/>
          <w:szCs w:val="22"/>
        </w:rPr>
        <w:t xml:space="preserve">The output layer formats the forecast into the SLDC-compliant schedule structure, with 96 blocks per day at 15-minute granularity. Uncertainty flags are attached to high-variability blocks. The formatted schedule is submitted to the grid operator interface and simultaneously logged to a historical archive for subsequent model evaluation and drift monitoring.</w:t>
      </w:r>
    </w:p>
    <w:p>
      <w:r>
        <w:t xml:space="preserve"/>
      </w:r>
    </w:p>
    <w:p>
      <w:pPr>
        <w:pStyle w:val="Heading1"/>
      </w:pPr>
      <w:r>
        <w:rPr>
          <w:rFonts w:ascii="Arial" w:cs="Arial" w:eastAsia="Arial" w:hAnsi="Arial"/>
          <w:b/>
          <w:bCs/>
          <w:color w:val="1F3864"/>
          <w:sz w:val="32"/>
          <w:szCs w:val="32"/>
        </w:rPr>
        <w:t xml:space="preserve">Section 9: Key Risks and Mitigation</w:t>
      </w:r>
    </w:p>
    <w:p>
      <w:r>
        <w:t xml:space="preserve"/>
      </w:r>
    </w:p>
    <w:p>
      <w:pPr>
        <w:spacing w:after="80" w:before="200"/>
      </w:pPr>
      <w:r>
        <w:rPr>
          <w:rFonts w:ascii="Arial" w:cs="Arial" w:eastAsia="Arial" w:hAnsi="Arial"/>
          <w:b/>
          <w:bCs/>
          <w:color w:val="2E5596"/>
          <w:sz w:val="24"/>
          <w:szCs w:val="24"/>
        </w:rPr>
        <w:t xml:space="preserve">Model Drift Due to Sensor Changes</w:t>
      </w:r>
    </w:p>
    <w:p>
      <w:pPr>
        <w:spacing w:after="120" w:before="80" w:line="320"/>
        <w:jc w:val="both"/>
      </w:pPr>
      <w:r>
        <w:rPr>
          <w:rFonts w:ascii="Arial" w:cs="Arial" w:eastAsia="Arial" w:hAnsi="Arial"/>
          <w:sz w:val="22"/>
          <w:szCs w:val="22"/>
        </w:rPr>
        <w:t xml:space="preserve">When a sensor at a wind or solar plant is replaced or recalibrated, the data it produces can shift subtly. The model was trained on the old sensor's characteristics and may begin producing systematically biased forecasts without anyone noticing immediately. To address this, a residual tracking layer monitors the rolling mean of forecast error for each plant over a 3-day window. If the error grows consistently in one direction over 3 consecutive days, it signals that something has changed in the data rather than in the weather, and an automated alert is raised. The model is then retrained on the most recent 90 days of data to adapt to the new sensor characteristics.</w:t>
      </w:r>
    </w:p>
    <w:p>
      <w:r>
        <w:t xml:space="preserve"/>
      </w:r>
    </w:p>
    <w:p>
      <w:pPr>
        <w:spacing w:after="80" w:before="200"/>
      </w:pPr>
      <w:r>
        <w:rPr>
          <w:rFonts w:ascii="Arial" w:cs="Arial" w:eastAsia="Arial" w:hAnsi="Arial"/>
          <w:b/>
          <w:bCs/>
          <w:color w:val="2E5596"/>
          <w:sz w:val="24"/>
          <w:szCs w:val="24"/>
        </w:rPr>
        <w:t xml:space="preserve">NWP Feed Failure</w:t>
      </w:r>
    </w:p>
    <w:p>
      <w:pPr>
        <w:spacing w:after="120" w:before="80" w:line="320"/>
        <w:jc w:val="both"/>
      </w:pPr>
      <w:r>
        <w:rPr>
          <w:rFonts w:ascii="Arial" w:cs="Arial" w:eastAsia="Arial" w:hAnsi="Arial"/>
          <w:sz w:val="22"/>
          <w:szCs w:val="22"/>
        </w:rPr>
        <w:t xml:space="preserve">The NWP weather feed is the primary input to the model. If this feed fails, the model cannot produce a weather-informed forecast. Rather than returning an error or producing a zero forecast, the system falls back to a persistence model that predicts the next day's generation based on the same hour yesterday. This is not as accurate as the full model, but it is far better than a blank forecast, and grid operators can plan around it while the weather feed is restored. The fallback status is clearly communicated in the output so that dispatchers know they are working with a degraded forecast.</w:t>
      </w:r>
    </w:p>
    <w:p>
      <w:r>
        <w:t xml:space="preserve"/>
      </w:r>
    </w:p>
    <w:p>
      <w:pPr>
        <w:spacing w:after="80" w:before="200"/>
      </w:pPr>
      <w:r>
        <w:rPr>
          <w:rFonts w:ascii="Arial" w:cs="Arial" w:eastAsia="Arial" w:hAnsi="Arial"/>
          <w:b/>
          <w:bCs/>
          <w:color w:val="2E5596"/>
          <w:sz w:val="24"/>
          <w:szCs w:val="24"/>
        </w:rPr>
        <w:t xml:space="preserve">Seasonality and Long-Term Climate Shifts</w:t>
      </w:r>
    </w:p>
    <w:p>
      <w:pPr>
        <w:spacing w:after="120" w:before="80" w:line="320"/>
        <w:jc w:val="both"/>
      </w:pPr>
      <w:r>
        <w:rPr>
          <w:rFonts w:ascii="Arial" w:cs="Arial" w:eastAsia="Arial" w:hAnsi="Arial"/>
          <w:sz w:val="22"/>
          <w:szCs w:val="22"/>
        </w:rPr>
        <w:t xml:space="preserve">The Indian subcontinent experiences strong seasonal variation driven by the monsoon cycle. A model trained predominantly on dry-season data will underperform during the monsoon and vice versa. The training pipeline addresses this by always including at least one full year of data in the training window, ensuring the model has seen all seasonal conditions. Additionally, the rolling retraining schedule ensures that the model's training window advances over time, so it gradually incorporates the most recent seasonal observations rather than relying solely on older data.</w:t>
      </w:r>
    </w:p>
    <w:p>
      <w:r>
        <w:t xml:space="preserve"/>
      </w:r>
    </w:p>
    <w:p>
      <w:pPr>
        <w:spacing w:after="80" w:before="200"/>
      </w:pPr>
      <w:r>
        <w:rPr>
          <w:rFonts w:ascii="Arial" w:cs="Arial" w:eastAsia="Arial" w:hAnsi="Arial"/>
          <w:b/>
          <w:bCs/>
          <w:color w:val="2E5596"/>
          <w:sz w:val="24"/>
          <w:szCs w:val="24"/>
        </w:rPr>
        <w:t xml:space="preserve">Extreme Weather Events</w:t>
      </w:r>
    </w:p>
    <w:p>
      <w:pPr>
        <w:spacing w:after="120" w:before="80" w:line="320"/>
        <w:jc w:val="both"/>
      </w:pPr>
      <w:r>
        <w:rPr>
          <w:rFonts w:ascii="Arial" w:cs="Arial" w:eastAsia="Arial" w:hAnsi="Arial"/>
          <w:sz w:val="22"/>
          <w:szCs w:val="22"/>
        </w:rPr>
        <w:t xml:space="preserve">Cyclones, dust storms, and severe thunderstorms represent conditions that are rare in the historical record but devastating when they occur. A model that has seen very few examples of extreme weather will have wide uncertainty bands for such events, which is actually the correct and honest response. The P10 to P90 spread will be very large, signalling to dispatchers that this is a high-risk period requiring maximum backup readiness. The system does not try to pretend it can forecast rare extremes with high confidence. Instead, it communicates its uncertainty clearly and defers to human judgment for extreme event planning.</w:t>
      </w:r>
    </w:p>
    <w:p>
      <w:r>
        <w:t xml:space="preserve"/>
      </w:r>
    </w:p>
    <w:p>
      <w:pPr>
        <w:spacing w:after="80" w:before="200"/>
      </w:pPr>
      <w:r>
        <w:rPr>
          <w:rFonts w:ascii="Arial" w:cs="Arial" w:eastAsia="Arial" w:hAnsi="Arial"/>
          <w:b/>
          <w:bCs/>
          <w:color w:val="2E5596"/>
          <w:sz w:val="24"/>
          <w:szCs w:val="24"/>
        </w:rPr>
        <w:t xml:space="preserve">The Cost of Being Wrong in Either Direction</w:t>
      </w:r>
    </w:p>
    <w:p>
      <w:pPr>
        <w:spacing w:after="120" w:before="80" w:line="320"/>
        <w:jc w:val="both"/>
      </w:pPr>
      <w:r>
        <w:rPr>
          <w:rFonts w:ascii="Arial" w:cs="Arial" w:eastAsia="Arial" w:hAnsi="Arial"/>
          <w:sz w:val="22"/>
          <w:szCs w:val="22"/>
        </w:rPr>
        <w:t xml:space="preserve">It is worth being direct about the operational consequences of forecast errors, because they are asymmetric. When the forecast overestimates generation, the grid receives more power than scheduled. Excess energy cannot simply be stored; it must be absorbed by the system immediately. If that absorption capacity is not available, voltage and frequency rise, and automatic protections may force renewable plants offline, which is both costly and counterproductive. When the forecast underestimates generation, the shortfall must be covered by backup plants. These are typically gas or diesel peakers that are expensive to run and emit significantly more carbon than renewable generation. Calling them in on short notice without prior scheduling compounds the cost.</w:t>
      </w:r>
    </w:p>
    <w:p>
      <w:r>
        <w:t xml:space="preserve"/>
      </w:r>
    </w:p>
    <w:p>
      <w:pPr>
        <w:spacing w:after="120" w:before="80" w:line="320"/>
        <w:jc w:val="both"/>
      </w:pPr>
      <w:r>
        <w:rPr>
          <w:rFonts w:ascii="Arial" w:cs="Arial" w:eastAsia="Arial" w:hAnsi="Arial"/>
          <w:sz w:val="22"/>
          <w:szCs w:val="22"/>
        </w:rPr>
        <w:t xml:space="preserve">A well-calibrated quantile forecast directly reduces both risks. By presenting the P10 conservative scenario alongside the P50 median, dispatchers can decide how much reserve to hold based on a transparent view of uncertainty rather than a hidden safety margin baked into a single-point forecast. This transparency is what turns a forecasting system from a number-generating exercise into a genuine operational tool.</w:t>
      </w:r>
    </w:p>
    <w:p>
      <w:r>
        <w:t xml:space="preserve"/>
      </w:r>
    </w:p>
    <w:p>
      <w:pPr>
        <w:pStyle w:val="Heading1"/>
      </w:pPr>
      <w:r>
        <w:rPr>
          <w:rFonts w:ascii="Arial" w:cs="Arial" w:eastAsia="Arial" w:hAnsi="Arial"/>
          <w:b/>
          <w:bCs/>
          <w:color w:val="1F3864"/>
          <w:sz w:val="32"/>
          <w:szCs w:val="32"/>
        </w:rPr>
        <w:t xml:space="preserve">Section 10: Implementation Plan for Sandbox Environment</w:t>
      </w:r>
    </w:p>
    <w:p>
      <w:r>
        <w:t xml:space="preserve"/>
      </w:r>
    </w:p>
    <w:p>
      <w:pPr>
        <w:spacing w:after="120" w:before="80" w:line="320"/>
        <w:jc w:val="both"/>
      </w:pPr>
      <w:r>
        <w:rPr>
          <w:rFonts w:ascii="Arial" w:cs="Arial" w:eastAsia="Arial" w:hAnsi="Arial"/>
          <w:sz w:val="22"/>
          <w:szCs w:val="22"/>
        </w:rPr>
        <w:t xml:space="preserve">The sandbox implementation is structured as a four-phase program designed to move from data validation through to a live parallel run against the existing forecasting method before any transition to production.</w:t>
      </w:r>
    </w:p>
    <w:p>
      <w:r>
        <w:t xml:space="preserve"/>
      </w:r>
    </w:p>
    <w:p>
      <w:pPr>
        <w:spacing w:after="80" w:before="200"/>
      </w:pPr>
      <w:r>
        <w:rPr>
          <w:rFonts w:ascii="Arial" w:cs="Arial" w:eastAsia="Arial" w:hAnsi="Arial"/>
          <w:b/>
          <w:bCs/>
          <w:color w:val="2E5596"/>
          <w:sz w:val="24"/>
          <w:szCs w:val="24"/>
        </w:rPr>
        <w:t xml:space="preserve">Phase 1: Data Audit and Pipeline Build (Weeks 1 to 3)</w:t>
      </w:r>
    </w:p>
    <w:p>
      <w:pPr>
        <w:spacing w:after="120" w:before="80" w:line="320"/>
        <w:jc w:val="both"/>
      </w:pPr>
      <w:r>
        <w:rPr>
          <w:rFonts w:ascii="Arial" w:cs="Arial" w:eastAsia="Arial" w:hAnsi="Arial"/>
          <w:sz w:val="22"/>
          <w:szCs w:val="22"/>
        </w:rPr>
        <w:t xml:space="preserve">The first phase focuses entirely on understanding the data. Historical SCADA feeds and NWP archives are ingested and profiled. Missing data rates, outage flag coverage, and sensor quality are assessed for each plant. The ingestion and transformation pipeline is built and tested against the historical dataset. The output of this phase is a clean, feature-engineered training dataset and a documented data quality report for each asset.</w:t>
      </w:r>
    </w:p>
    <w:p>
      <w:r>
        <w:t xml:space="preserve"/>
      </w:r>
    </w:p>
    <w:p>
      <w:pPr>
        <w:spacing w:after="80" w:before="200"/>
      </w:pPr>
      <w:r>
        <w:rPr>
          <w:rFonts w:ascii="Arial" w:cs="Arial" w:eastAsia="Arial" w:hAnsi="Arial"/>
          <w:b/>
          <w:bCs/>
          <w:color w:val="2E5596"/>
          <w:sz w:val="24"/>
          <w:szCs w:val="24"/>
        </w:rPr>
        <w:t xml:space="preserve">Phase 2: Model Training and Backtesting (Weeks 4 to 6)</w:t>
      </w:r>
    </w:p>
    <w:p>
      <w:pPr>
        <w:spacing w:after="120" w:before="80" w:line="320"/>
        <w:jc w:val="both"/>
      </w:pPr>
      <w:r>
        <w:rPr>
          <w:rFonts w:ascii="Arial" w:cs="Arial" w:eastAsia="Arial" w:hAnsi="Arial"/>
          <w:sz w:val="22"/>
          <w:szCs w:val="22"/>
        </w:rPr>
        <w:t xml:space="preserve">Using the clean training dataset, LightGBM models are trained for solar and wind generation separately. Hyperparameter tuning is conducted using time-series cross-validation. Baseline persistence and climatological forecasts are computed. RMSE, MAPE, and Pinball Loss metrics are computed for all three model variants against both baselines. SHAP explainability is validated by reviewing feature contributions for a representative sample of forecasts across different seasons and weather conditions.</w:t>
      </w:r>
    </w:p>
    <w:p>
      <w:r>
        <w:t xml:space="preserve"/>
      </w:r>
    </w:p>
    <w:p>
      <w:pPr>
        <w:spacing w:after="80" w:before="200"/>
      </w:pPr>
      <w:r>
        <w:rPr>
          <w:rFonts w:ascii="Arial" w:cs="Arial" w:eastAsia="Arial" w:hAnsi="Arial"/>
          <w:b/>
          <w:bCs/>
          <w:color w:val="2E5596"/>
          <w:sz w:val="24"/>
          <w:szCs w:val="24"/>
        </w:rPr>
        <w:t xml:space="preserve">Phase 3: Sandbox Parallel Run (Weeks 7 to 10)</w:t>
      </w:r>
    </w:p>
    <w:p>
      <w:pPr>
        <w:spacing w:after="120" w:before="80" w:line="320"/>
        <w:jc w:val="both"/>
      </w:pPr>
      <w:r>
        <w:rPr>
          <w:rFonts w:ascii="Arial" w:cs="Arial" w:eastAsia="Arial" w:hAnsi="Arial"/>
          <w:sz w:val="22"/>
          <w:szCs w:val="22"/>
        </w:rPr>
        <w:t xml:space="preserve">The fully trained system is deployed in a sandbox environment that mirrors the production data flow. Every day, the system ingests real NWP forecasts and SCADA data and produces a 96-block schedule in SLDC format. This forecast is compared daily against actual generation outcomes. The residual tracking layer is activated and monitored. Grid operators review the daily forecast output and provide operational feedback on the clarity and usefulness of the uncertainty flags and SHAP explanations.</w:t>
      </w:r>
    </w:p>
    <w:p>
      <w:r>
        <w:t xml:space="preserve"/>
      </w:r>
    </w:p>
    <w:p>
      <w:pPr>
        <w:spacing w:after="80" w:before="200"/>
      </w:pPr>
      <w:r>
        <w:rPr>
          <w:rFonts w:ascii="Arial" w:cs="Arial" w:eastAsia="Arial" w:hAnsi="Arial"/>
          <w:b/>
          <w:bCs/>
          <w:color w:val="2E5596"/>
          <w:sz w:val="24"/>
          <w:szCs w:val="24"/>
        </w:rPr>
        <w:t xml:space="preserve">Phase 4: Review and Production Readiness (Weeks 11 to 12)</w:t>
      </w:r>
    </w:p>
    <w:p>
      <w:pPr>
        <w:spacing w:after="120" w:before="80" w:line="320"/>
        <w:jc w:val="both"/>
      </w:pPr>
      <w:r>
        <w:rPr>
          <w:rFonts w:ascii="Arial" w:cs="Arial" w:eastAsia="Arial" w:hAnsi="Arial"/>
          <w:sz w:val="22"/>
          <w:szCs w:val="22"/>
        </w:rPr>
        <w:t xml:space="preserve">After ten weeks of parallel running, performance metrics are consolidated and reviewed. The model's performance during any high-uncertainty weather events is examined in detail. Operator feedback is incorporated into the output formatting and flagging logic. The retraining trigger thresholds are calibrated based on observed drift patterns. A production readiness assessment is produced that documents the model's performance characteristics, known limitations, and recommended monitoring procedures.</w:t>
      </w:r>
    </w:p>
    <w:p>
      <w:r>
        <w:t xml:space="preserve"/>
      </w:r>
    </w:p>
    <w:p>
      <w:pPr>
        <w:pStyle w:val="Heading1"/>
      </w:pPr>
      <w:r>
        <w:rPr>
          <w:rFonts w:ascii="Arial" w:cs="Arial" w:eastAsia="Arial" w:hAnsi="Arial"/>
          <w:b/>
          <w:bCs/>
          <w:color w:val="1F3864"/>
          <w:sz w:val="32"/>
          <w:szCs w:val="32"/>
        </w:rPr>
        <w:t xml:space="preserve">Conclusion</w:t>
      </w:r>
    </w:p>
    <w:p>
      <w:r>
        <w:t xml:space="preserve"/>
      </w:r>
    </w:p>
    <w:p>
      <w:pPr>
        <w:spacing w:after="120" w:before="80" w:line="320"/>
        <w:jc w:val="both"/>
      </w:pPr>
      <w:r>
        <w:rPr>
          <w:rFonts w:ascii="Arial" w:cs="Arial" w:eastAsia="Arial" w:hAnsi="Arial"/>
          <w:sz w:val="22"/>
          <w:szCs w:val="22"/>
        </w:rPr>
        <w:t xml:space="preserve">The forecasting system described in this document is designed to solve a real operational problem with practical, deployable technology. It does not promise perfection. Weather is inherently uncertain, and no model can remove that uncertainty entirely. What this system does is quantify the uncertainty honestly, communicate it clearly, and give grid operators the information they need to make smarter decisions about reserves, scheduling, and balancing costs.</w:t>
      </w:r>
    </w:p>
    <w:p>
      <w:r>
        <w:t xml:space="preserve"/>
      </w:r>
    </w:p>
    <w:p>
      <w:pPr>
        <w:spacing w:after="120" w:before="80" w:line="320"/>
        <w:jc w:val="both"/>
      </w:pPr>
      <w:r>
        <w:rPr>
          <w:rFonts w:ascii="Arial" w:cs="Arial" w:eastAsia="Arial" w:hAnsi="Arial"/>
          <w:sz w:val="22"/>
          <w:szCs w:val="22"/>
        </w:rPr>
        <w:t xml:space="preserve">The choice of LightGBM is grounded in its ability to learn complex non-linear physics from data, train quickly, adapt to new conditions through rolling retraining, and produce predictions that can be explained in terms a grid operator can act on. The physics-informed feature engineering ensures the model respects the real constraints of energy generation, not just the statistical patterns in the training data. The quantile forecasting architecture turns the system's output from a single number into a risk communication tool.</w:t>
      </w:r>
    </w:p>
    <w:p>
      <w:r>
        <w:t xml:space="preserve"/>
      </w:r>
    </w:p>
    <w:p>
      <w:pPr>
        <w:spacing w:after="120" w:before="80" w:line="320"/>
        <w:jc w:val="both"/>
      </w:pPr>
      <w:r>
        <w:rPr>
          <w:rFonts w:ascii="Arial" w:cs="Arial" w:eastAsia="Arial" w:hAnsi="Arial"/>
          <w:sz w:val="22"/>
          <w:szCs w:val="22"/>
        </w:rPr>
        <w:t xml:space="preserve">Excess generation that goes unscheduled wastes energy and stresses the grid. Shortfalls that require backup plants to spin up waste money and emit carbon. Both outcomes are preventable with better forecasting. This solution is designed to provide exactly that.</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5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2026-04-29T18:22:49.938Z</dcterms:created>
  <dcterms:modified xsi:type="dcterms:W3CDTF">2026-04-29T18:22:49.939Z</dcterms:modified>
</cp:coreProperties>
</file>

<file path=docProps/custom.xml><?xml version="1.0" encoding="utf-8"?>
<Properties xmlns="http://schemas.openxmlformats.org/officeDocument/2006/custom-properties" xmlns:vt="http://schemas.openxmlformats.org/officeDocument/2006/docPropsVTypes"/>
</file>