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2774C2" w:val="clear"/>
        <w:spacing w:before="0" w:after="0"/>
        <w:jc w:val="center"/>
      </w:pPr>
      <w:r>
        <w:rPr>
          <w:rFonts w:ascii="Calibri" w:hAnsi="Calibri"/>
          <w:b/>
          <w:i w:val="0"/>
          <w:color w:val="FFFFFF"/>
          <w:sz w:val="12"/>
        </w:rPr>
      </w:r>
    </w:p>
    <w:p>
      <w:pPr>
        <w:shd w:fill="0F284A" w:val="clear"/>
        <w:spacing w:before="200" w:after="0"/>
        <w:jc w:val="center"/>
      </w:pPr>
      <w:r>
        <w:rPr>
          <w:rFonts w:ascii="Calibri" w:hAnsi="Calibri"/>
          <w:b w:val="0"/>
          <w:i w:val="0"/>
          <w:color w:val="A8C8EC"/>
          <w:sz w:val="22"/>
        </w:rPr>
        <w:t>UNIVERSITY OF MANAGEMENT AND TECHNOLOGY</w:t>
      </w:r>
    </w:p>
    <w:p>
      <w:pPr>
        <w:shd w:fill="0F284A" w:val="clear"/>
        <w:spacing w:before="0" w:after="80"/>
        <w:jc w:val="center"/>
      </w:pPr>
      <w:r>
        <w:rPr>
          <w:rFonts w:ascii="Calibri" w:hAnsi="Calibri"/>
          <w:b w:val="0"/>
          <w:i w:val="0"/>
          <w:color w:val="7AA7D3"/>
          <w:sz w:val="20"/>
        </w:rPr>
        <w:t>Department of Information Security</w:t>
      </w:r>
    </w:p>
    <w:p>
      <w:pPr>
        <w:shd w:fill="0F284A" w:val="clear"/>
        <w:spacing w:before="0" w:after="0"/>
        <w:jc w:val="center"/>
      </w:pPr>
      <w:r>
        <w:rPr>
          <w:rFonts w:ascii="Calibri" w:hAnsi="Calibri"/>
          <w:b/>
          <w:i w:val="0"/>
          <w:color w:val="FFFFFF"/>
          <w:sz w:val="8"/>
        </w:rPr>
      </w:r>
    </w:p>
    <w:p>
      <w:pPr>
        <w:shd w:fill="0F284A" w:val="clear"/>
        <w:spacing w:before="160" w:after="80"/>
        <w:jc w:val="center"/>
      </w:pPr>
      <w:r>
        <w:rPr>
          <w:rFonts w:ascii="Calibri" w:hAnsi="Calibri"/>
          <w:b/>
          <w:i w:val="0"/>
          <w:color w:val="FFFFFF"/>
          <w:sz w:val="56"/>
        </w:rPr>
        <w:t>Automated Information Security</w:t>
        <w:br/>
        <w:t>Risk Assessment Platform</w:t>
      </w:r>
    </w:p>
    <w:p>
      <w:pPr>
        <w:shd w:fill="0F284A" w:val="clear"/>
        <w:spacing w:before="0" w:after="160"/>
        <w:jc w:val="center"/>
      </w:pPr>
      <w:r>
        <w:rPr>
          <w:rFonts w:ascii="Calibri" w:hAnsi="Calibri"/>
          <w:b w:val="0"/>
          <w:i w:val="0"/>
          <w:color w:val="A8C8EC"/>
          <w:sz w:val="28"/>
        </w:rPr>
        <w:t>A Quantitative, AI-Assisted Risk Assessment System Implementing NIST SP 800-30, AssessITS, and ISO/IEC 27001:2022</w:t>
      </w:r>
    </w:p>
    <w:p>
      <w:pPr>
        <w:shd w:fill="2774C2" w:val="clear"/>
        <w:spacing w:before="0" w:after="0"/>
        <w:jc w:val="center"/>
      </w:pPr>
      <w:r>
        <w:rPr>
          <w:rFonts w:ascii="Calibri" w:hAnsi="Calibri"/>
          <w:b/>
          <w:i w:val="0"/>
          <w:color w:val="FFFFFF"/>
          <w:sz w:val="12"/>
        </w:rPr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fill="0F284A" w:val="clear"/>
          </w:tcPr>
          <w:p>
            <w:pPr>
              <w:spacing w:before="80" w:after="8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AUTHORS</w:t>
            </w:r>
          </w:p>
        </w:tc>
        <w:tc>
          <w:tcPr>
            <w:tcW w:type="dxa" w:w="6690"/>
            <w:shd w:fill="EAF2FB" w:val="clea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Bilal Faisal  ·  UMT Information Security Department</w:t>
            </w:r>
          </w:p>
        </w:tc>
      </w:tr>
      <w:tr>
        <w:tc>
          <w:tcPr>
            <w:tcW w:type="dxa" w:w="1814"/>
            <w:shd w:fill="0F284A" w:val="clear"/>
          </w:tcPr>
          <w:p>
            <w:pPr>
              <w:spacing w:before="80" w:after="8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COURSE</w:t>
            </w:r>
          </w:p>
        </w:tc>
        <w:tc>
          <w:tcPr>
            <w:tcW w:type="dxa" w:w="6690"/>
            <w:shd w:fill="F4F8FF" w:val="clea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Information Security Risk Assessment  ·  Spring 2026</w:t>
            </w:r>
          </w:p>
        </w:tc>
      </w:tr>
      <w:tr>
        <w:tc>
          <w:tcPr>
            <w:tcW w:type="dxa" w:w="1814"/>
            <w:shd w:fill="0F284A" w:val="clear"/>
          </w:tcPr>
          <w:p>
            <w:pPr>
              <w:spacing w:before="80" w:after="8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INSTITUTION</w:t>
            </w:r>
          </w:p>
        </w:tc>
        <w:tc>
          <w:tcPr>
            <w:tcW w:type="dxa" w:w="6690"/>
            <w:shd w:fill="EAF2FB" w:val="clea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University of Management and Technology, Lahore</w:t>
            </w:r>
          </w:p>
        </w:tc>
      </w:tr>
      <w:tr>
        <w:tc>
          <w:tcPr>
            <w:tcW w:type="dxa" w:w="1814"/>
            <w:shd w:fill="0F284A" w:val="clear"/>
          </w:tcPr>
          <w:p>
            <w:pPr>
              <w:spacing w:before="80" w:after="8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6690"/>
            <w:shd w:fill="F4F8FF" w:val="clea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June 2026</w:t>
            </w:r>
          </w:p>
        </w:tc>
      </w:tr>
    </w:tbl>
    <w:p/>
    <w:p>
      <w:pPr>
        <w:shd w:fill="2774C2" w:val="clear"/>
        <w:spacing w:before="0" w:after="0"/>
        <w:jc w:val="center"/>
      </w:pPr>
      <w:r>
        <w:rPr>
          <w:rFonts w:ascii="Calibri" w:hAnsi="Calibri"/>
          <w:b w:val="0"/>
          <w:i/>
          <w:color w:val="FFFFFF"/>
          <w:sz w:val="18"/>
        </w:rPr>
        <w:t>Automated Information Security Risk Assessment Platform  ·  Capstone Submission 2026</w:t>
      </w:r>
    </w:p>
    <w:p>
      <w:r>
        <w:br w:type="page"/>
      </w:r>
    </w:p>
    <w:p>
      <w:pPr>
        <w:shd w:fill="0F284A" w:val="clear"/>
        <w:spacing w:before="120" w:after="40"/>
        <w:jc w:val="left"/>
      </w:pPr>
      <w:r>
        <w:rPr>
          <w:rFonts w:ascii="Calibri" w:hAnsi="Calibri"/>
          <w:b/>
          <w:i w:val="0"/>
          <w:color w:val="D4AC0D"/>
          <w:sz w:val="26"/>
        </w:rPr>
        <w:t xml:space="preserve">  TOC  </w:t>
      </w:r>
      <w:r>
        <w:rPr>
          <w:rFonts w:ascii="Calibri" w:hAnsi="Calibri"/>
          <w:b w:val="0"/>
          <w:i w:val="0"/>
          <w:color w:val="7AA7D3"/>
          <w:sz w:val="26"/>
        </w:rPr>
        <w:t xml:space="preserve">│  </w:t>
      </w:r>
      <w:r>
        <w:rPr>
          <w:rFonts w:ascii="Calibri" w:hAnsi="Calibri"/>
          <w:b/>
          <w:i w:val="0"/>
          <w:color w:val="FFFFFF"/>
          <w:sz w:val="26"/>
        </w:rPr>
        <w:t>TABLE OF CONTENTS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680"/>
            <w:shd w:fill="0F284A" w:val="clea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D4AC0D"/>
                <w:sz w:val="20"/>
              </w:rPr>
              <w:t>1.</w:t>
            </w:r>
          </w:p>
        </w:tc>
        <w:tc>
          <w:tcPr>
            <w:tcW w:type="dxa" w:w="4933"/>
            <w:shd w:fill="0F284A" w:val="clear"/>
            <w:tcBorders>
              <w:bottom w:val="single" w:sz="4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Executive Summary</w:t>
            </w:r>
          </w:p>
        </w:tc>
      </w:tr>
      <w:tr>
        <w:tc>
          <w:tcPr>
            <w:tcW w:type="dxa" w:w="680"/>
            <w:shd w:fill="FFFFFF" w:val="clea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774C2"/>
                <w:sz w:val="20"/>
              </w:rPr>
              <w:t>2.</w:t>
            </w:r>
          </w:p>
        </w:tc>
        <w:tc>
          <w:tcPr>
            <w:tcW w:type="dxa" w:w="4933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Platform Overview</w:t>
            </w:r>
          </w:p>
        </w:tc>
      </w:tr>
      <w:tr>
        <w:tc>
          <w:tcPr>
            <w:tcW w:type="dxa" w:w="680"/>
            <w:shd w:fill="F4F8FF" w:val="clea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774C2"/>
                <w:sz w:val="20"/>
              </w:rPr>
              <w:t>3.</w:t>
            </w:r>
          </w:p>
        </w:tc>
        <w:tc>
          <w:tcPr>
            <w:tcW w:type="dxa" w:w="4933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Technology Stack</w:t>
            </w:r>
          </w:p>
        </w:tc>
      </w:tr>
      <w:tr>
        <w:tc>
          <w:tcPr>
            <w:tcW w:type="dxa" w:w="680"/>
            <w:shd w:fill="FFFFFF" w:val="clea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774C2"/>
                <w:sz w:val="20"/>
              </w:rPr>
              <w:t>4.</w:t>
            </w:r>
          </w:p>
        </w:tc>
        <w:tc>
          <w:tcPr>
            <w:tcW w:type="dxa" w:w="4933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System Architecture</w:t>
            </w:r>
          </w:p>
        </w:tc>
      </w:tr>
      <w:tr>
        <w:tc>
          <w:tcPr>
            <w:tcW w:type="dxa" w:w="680"/>
            <w:shd w:fill="F4F8FF" w:val="clea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774C2"/>
                <w:sz w:val="20"/>
              </w:rPr>
              <w:t>5.</w:t>
            </w:r>
          </w:p>
        </w:tc>
        <w:tc>
          <w:tcPr>
            <w:tcW w:type="dxa" w:w="4933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Academic Frameworks &amp; Methodology</w:t>
            </w:r>
          </w:p>
        </w:tc>
      </w:tr>
      <w:tr>
        <w:tc>
          <w:tcPr>
            <w:tcW w:type="dxa" w:w="680"/>
            <w:shd w:fill="FFFFFF" w:val="clea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774C2"/>
                <w:sz w:val="20"/>
              </w:rPr>
              <w:t>6.</w:t>
            </w:r>
          </w:p>
        </w:tc>
        <w:tc>
          <w:tcPr>
            <w:tcW w:type="dxa" w:w="4933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Quantitative Risk Formulas</w:t>
            </w:r>
          </w:p>
        </w:tc>
      </w:tr>
      <w:tr>
        <w:tc>
          <w:tcPr>
            <w:tcW w:type="dxa" w:w="680"/>
            <w:shd w:fill="F4F8FF" w:val="clea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774C2"/>
                <w:sz w:val="20"/>
              </w:rPr>
              <w:t>7.</w:t>
            </w:r>
          </w:p>
        </w:tc>
        <w:tc>
          <w:tcPr>
            <w:tcW w:type="dxa" w:w="4933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Risk Criticality Bands</w:t>
            </w:r>
          </w:p>
        </w:tc>
      </w:tr>
      <w:tr>
        <w:tc>
          <w:tcPr>
            <w:tcW w:type="dxa" w:w="680"/>
            <w:shd w:fill="FFFFFF" w:val="clea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774C2"/>
                <w:sz w:val="20"/>
              </w:rPr>
              <w:t>8.</w:t>
            </w:r>
          </w:p>
        </w:tc>
        <w:tc>
          <w:tcPr>
            <w:tcW w:type="dxa" w:w="4933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Platform Features — All Six Pages</w:t>
            </w:r>
          </w:p>
        </w:tc>
      </w:tr>
      <w:tr>
        <w:tc>
          <w:tcPr>
            <w:tcW w:type="dxa" w:w="680"/>
            <w:shd w:fill="F4F8FF" w:val="clea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774C2"/>
                <w:sz w:val="20"/>
              </w:rPr>
              <w:t>9.</w:t>
            </w:r>
          </w:p>
        </w:tc>
        <w:tc>
          <w:tcPr>
            <w:tcW w:type="dxa" w:w="4933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Database Design</w:t>
            </w:r>
          </w:p>
        </w:tc>
      </w:tr>
      <w:tr>
        <w:tc>
          <w:tcPr>
            <w:tcW w:type="dxa" w:w="680"/>
            <w:shd w:fill="FFFFFF" w:val="clea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774C2"/>
                <w:sz w:val="20"/>
              </w:rPr>
              <w:t>10.</w:t>
            </w:r>
          </w:p>
        </w:tc>
        <w:tc>
          <w:tcPr>
            <w:tcW w:type="dxa" w:w="4933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Security Controls &amp; Testing</w:t>
            </w:r>
          </w:p>
        </w:tc>
      </w:tr>
      <w:tr>
        <w:tc>
          <w:tcPr>
            <w:tcW w:type="dxa" w:w="680"/>
            <w:shd w:fill="F4F8FF" w:val="clea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774C2"/>
                <w:sz w:val="20"/>
              </w:rPr>
              <w:t>11.</w:t>
            </w:r>
          </w:p>
        </w:tc>
        <w:tc>
          <w:tcPr>
            <w:tcW w:type="dxa" w:w="4933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AI-Powered Threat Intelligence</w:t>
            </w:r>
          </w:p>
        </w:tc>
      </w:tr>
      <w:tr>
        <w:tc>
          <w:tcPr>
            <w:tcW w:type="dxa" w:w="680"/>
            <w:shd w:fill="FFFFFF" w:val="clea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774C2"/>
                <w:sz w:val="20"/>
              </w:rPr>
              <w:t>12.</w:t>
            </w:r>
          </w:p>
        </w:tc>
        <w:tc>
          <w:tcPr>
            <w:tcW w:type="dxa" w:w="4933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Key Platform Statistics</w:t>
            </w:r>
          </w:p>
        </w:tc>
      </w:tr>
      <w:tr>
        <w:tc>
          <w:tcPr>
            <w:tcW w:type="dxa" w:w="680"/>
            <w:shd w:fill="F4F8FF" w:val="clea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774C2"/>
                <w:sz w:val="20"/>
              </w:rPr>
              <w:t>13.</w:t>
            </w:r>
          </w:p>
        </w:tc>
        <w:tc>
          <w:tcPr>
            <w:tcW w:type="dxa" w:w="4933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Sample Risk Register</w:t>
            </w:r>
          </w:p>
        </w:tc>
      </w:tr>
      <w:tr>
        <w:tc>
          <w:tcPr>
            <w:tcW w:type="dxa" w:w="680"/>
            <w:shd w:fill="FFFFFF" w:val="clea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774C2"/>
                <w:sz w:val="20"/>
              </w:rPr>
              <w:t>14.</w:t>
            </w:r>
          </w:p>
        </w:tc>
        <w:tc>
          <w:tcPr>
            <w:tcW w:type="dxa" w:w="4933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Deployment &amp; Scalability</w:t>
            </w:r>
          </w:p>
        </w:tc>
      </w:tr>
      <w:tr>
        <w:tc>
          <w:tcPr>
            <w:tcW w:type="dxa" w:w="680"/>
            <w:shd w:fill="F4F8FF" w:val="clea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774C2"/>
                <w:sz w:val="20"/>
              </w:rPr>
              <w:t>15.</w:t>
            </w:r>
          </w:p>
        </w:tc>
        <w:tc>
          <w:tcPr>
            <w:tcW w:type="dxa" w:w="4933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Academic References</w:t>
            </w:r>
          </w:p>
        </w:tc>
      </w:tr>
    </w:tbl>
    <w:p/>
    <w:p>
      <w:r>
        <w:br w:type="page"/>
      </w:r>
    </w:p>
    <w:p>
      <w:pPr>
        <w:shd w:fill="1D4E89" w:val="clear"/>
        <w:spacing w:before="120" w:after="40"/>
        <w:jc w:val="left"/>
      </w:pPr>
      <w:r>
        <w:rPr>
          <w:rFonts w:ascii="Calibri" w:hAnsi="Calibri"/>
          <w:b/>
          <w:i w:val="0"/>
          <w:color w:val="D4AC0D"/>
          <w:sz w:val="26"/>
        </w:rPr>
        <w:t xml:space="preserve">  01  </w:t>
      </w:r>
      <w:r>
        <w:rPr>
          <w:rFonts w:ascii="Calibri" w:hAnsi="Calibri"/>
          <w:b w:val="0"/>
          <w:i w:val="0"/>
          <w:color w:val="7AA7D3"/>
          <w:sz w:val="26"/>
        </w:rPr>
        <w:t xml:space="preserve">│  </w:t>
      </w:r>
      <w:r>
        <w:rPr>
          <w:rFonts w:ascii="Calibri" w:hAnsi="Calibri"/>
          <w:b/>
          <w:i w:val="0"/>
          <w:color w:val="FFFFFF"/>
          <w:sz w:val="26"/>
        </w:rPr>
        <w:t>EXECUTIVE SUMMARY</w:t>
      </w:r>
    </w:p>
    <w:p>
      <w:pPr>
        <w:spacing w:before="40" w:after="40"/>
        <w:ind w:left="0"/>
        <w:jc w:val="both"/>
      </w:pPr>
      <w:r>
        <w:rPr>
          <w:rFonts w:ascii="Calibri" w:hAnsi="Calibri"/>
          <w:b w:val="0"/>
          <w:i w:val="0"/>
          <w:color w:val="2C3E50"/>
          <w:sz w:val="21"/>
        </w:rPr>
        <w:t>The Automated Information Security Risk Assessment Platform is a full-stack, production-ready web application developed as a University of Management and Technology (UMT) capstone project for Spring 2026. It automates quantitative information security risk assessment — a task traditionally performed manually by security analysts — through a unified, browser-based interface.</w:t>
      </w:r>
    </w:p>
    <w:p>
      <w:pPr>
        <w:spacing w:before="40" w:after="40"/>
        <w:ind w:left="0"/>
        <w:jc w:val="both"/>
      </w:pPr>
      <w:r>
        <w:rPr>
          <w:rFonts w:ascii="Calibri" w:hAnsi="Calibri"/>
          <w:b w:val="0"/>
          <w:i w:val="0"/>
          <w:color w:val="2C3E50"/>
          <w:sz w:val="21"/>
        </w:rPr>
        <w:t>The platform integrates three internationally recognised security frameworks: NIST SP 800-30 Rev. 1 for quantitative risk measurement (SLE/ALE methodology), AssessITS (Rahman et al., 2024, arXiv:2410.01750) for impact-band scoring on a calibrated 1–250 scale, and ISO/IEC 27001:2022 for risk treatment classification. It further augments human analysis with live CVE threat intelligence from NIST NVD and AI-generated NIST control recommendations powered by Anthropic Claude.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fill="0F284A" w:val="clear"/>
            <w:tcBorders>
              <w:bottom w:val="single" w:sz="8" w:color="2774C2"/>
            </w:tcBorders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i w:val="0"/>
                <w:color w:val="D4AC0D"/>
                <w:sz w:val="44"/>
              </w:rPr>
              <w:t>40+</w:t>
            </w:r>
          </w:p>
        </w:tc>
        <w:tc>
          <w:tcPr>
            <w:tcW w:type="dxa" w:w="1644"/>
            <w:shd w:fill="0F284A" w:val="clear"/>
            <w:tcBorders>
              <w:bottom w:val="single" w:sz="8" w:color="2774C2"/>
            </w:tcBorders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i w:val="0"/>
                <w:color w:val="D4AC0D"/>
                <w:sz w:val="44"/>
              </w:rPr>
              <w:t>4,500+</w:t>
            </w:r>
          </w:p>
        </w:tc>
        <w:tc>
          <w:tcPr>
            <w:tcW w:type="dxa" w:w="1644"/>
            <w:shd w:fill="0F284A" w:val="clear"/>
            <w:tcBorders>
              <w:bottom w:val="single" w:sz="8" w:color="2774C2"/>
            </w:tcBorders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i w:val="0"/>
                <w:color w:val="D4AC0D"/>
                <w:sz w:val="44"/>
              </w:rPr>
              <w:t>8</w:t>
            </w:r>
          </w:p>
        </w:tc>
        <w:tc>
          <w:tcPr>
            <w:tcW w:type="dxa" w:w="1644"/>
            <w:shd w:fill="0F284A" w:val="clear"/>
            <w:tcBorders>
              <w:bottom w:val="single" w:sz="8" w:color="2774C2"/>
            </w:tcBorders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i w:val="0"/>
                <w:color w:val="D4AC0D"/>
                <w:sz w:val="44"/>
              </w:rPr>
              <w:t>20</w:t>
            </w:r>
          </w:p>
        </w:tc>
        <w:tc>
          <w:tcPr>
            <w:tcW w:type="dxa" w:w="1644"/>
            <w:shd w:fill="0F284A" w:val="clear"/>
            <w:tcBorders>
              <w:bottom w:val="single" w:sz="8" w:color="2774C2"/>
            </w:tcBorders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i w:val="0"/>
                <w:color w:val="D4AC0D"/>
                <w:sz w:val="44"/>
              </w:rPr>
              <w:t>3</w:t>
            </w:r>
          </w:p>
        </w:tc>
        <w:tc>
          <w:tcPr>
            <w:tcW w:type="dxa" w:w="1644"/>
            <w:shd w:fill="0F284A" w:val="clear"/>
            <w:tcBorders>
              <w:bottom w:val="single" w:sz="8" w:color="2774C2"/>
            </w:tcBorders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i w:val="0"/>
                <w:color w:val="D4AC0D"/>
                <w:sz w:val="44"/>
              </w:rPr>
              <w:t>3</w:t>
            </w:r>
          </w:p>
        </w:tc>
      </w:tr>
      <w:tr>
        <w:tc>
          <w:tcPr>
            <w:tcW w:type="dxa" w:w="1644"/>
            <w:shd w:fill="1D4E89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Python Files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 w:val="0"/>
                <w:i/>
                <w:color w:val="A8C8EC"/>
                <w:sz w:val="16"/>
              </w:rPr>
              <w:t>backend + frontend</w:t>
            </w:r>
          </w:p>
        </w:tc>
        <w:tc>
          <w:tcPr>
            <w:tcW w:type="dxa" w:w="1644"/>
            <w:shd w:fill="1D4E89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Lines of Code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 w:val="0"/>
                <w:i/>
                <w:color w:val="A8C8EC"/>
                <w:sz w:val="16"/>
              </w:rPr>
              <w:t>production code</w:t>
            </w:r>
          </w:p>
        </w:tc>
        <w:tc>
          <w:tcPr>
            <w:tcW w:type="dxa" w:w="1644"/>
            <w:shd w:fill="1D4E89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Plotly Charts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 w:val="0"/>
                <w:i/>
                <w:color w:val="A8C8EC"/>
                <w:sz w:val="16"/>
              </w:rPr>
              <w:t>interactive visualizations</w:t>
            </w:r>
          </w:p>
        </w:tc>
        <w:tc>
          <w:tcPr>
            <w:tcW w:type="dxa" w:w="1644"/>
            <w:shd w:fill="1D4E89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NIST Controls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 w:val="0"/>
                <w:i/>
                <w:color w:val="A8C8EC"/>
                <w:sz w:val="16"/>
              </w:rPr>
              <w:t>SP 800-53 tracked</w:t>
            </w:r>
          </w:p>
        </w:tc>
        <w:tc>
          <w:tcPr>
            <w:tcW w:type="dxa" w:w="1644"/>
            <w:shd w:fill="1D4E89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PDF Reports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 w:val="0"/>
                <w:i/>
                <w:color w:val="A8C8EC"/>
                <w:sz w:val="16"/>
              </w:rPr>
              <w:t>risk register, CBA, compliance</w:t>
            </w:r>
          </w:p>
        </w:tc>
        <w:tc>
          <w:tcPr>
            <w:tcW w:type="dxa" w:w="1644"/>
            <w:shd w:fill="1D4E89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Academic Frameworks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 w:val="0"/>
                <w:i/>
                <w:color w:val="A8C8EC"/>
                <w:sz w:val="16"/>
              </w:rPr>
              <w:t>NIST · AssessITS · ISO 27001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B" w:val="clear"/>
            <w:tcBorders>
              <w:top w:val="single" w:sz="8" w:color="2774C2"/>
              <w:left w:val="single" w:sz="8" w:color="2774C2"/>
              <w:bottom w:val="single" w:sz="8" w:color="2774C2"/>
              <w:right w:val="single" w:sz="8" w:color="2774C2"/>
            </w:tcBorders>
          </w:tcPr>
          <w:p/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D4E89"/>
                <w:sz w:val="18"/>
              </w:rPr>
              <w:t xml:space="preserve">  CORE MISSION  </w:t>
            </w:r>
          </w:p>
          <w:p>
            <w:pPr>
              <w:spacing w:before="0" w:after="80"/>
              <w:ind w:left="170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 xml:space="preserve">  Transform a traditionally manual, error-prone risk assessment process into an automated, repeatable, and auditable workflow — enabling organisations to quantify financial exposure, prioritise remediation, and demonstrate compliance in minutes rather than weeks.</w:t>
            </w:r>
          </w:p>
        </w:tc>
      </w:tr>
    </w:tbl>
    <w:p/>
    <w:p>
      <w:r>
        <w:br w:type="page"/>
      </w:r>
    </w:p>
    <w:p>
      <w:pPr>
        <w:shd w:fill="1D4E89" w:val="clear"/>
        <w:spacing w:before="120" w:after="40"/>
        <w:jc w:val="left"/>
      </w:pPr>
      <w:r>
        <w:rPr>
          <w:rFonts w:ascii="Calibri" w:hAnsi="Calibri"/>
          <w:b/>
          <w:i w:val="0"/>
          <w:color w:val="D4AC0D"/>
          <w:sz w:val="26"/>
        </w:rPr>
        <w:t xml:space="preserve">  02  </w:t>
      </w:r>
      <w:r>
        <w:rPr>
          <w:rFonts w:ascii="Calibri" w:hAnsi="Calibri"/>
          <w:b w:val="0"/>
          <w:i w:val="0"/>
          <w:color w:val="7AA7D3"/>
          <w:sz w:val="26"/>
        </w:rPr>
        <w:t xml:space="preserve">│  </w:t>
      </w:r>
      <w:r>
        <w:rPr>
          <w:rFonts w:ascii="Calibri" w:hAnsi="Calibri"/>
          <w:b/>
          <w:i w:val="0"/>
          <w:color w:val="FFFFFF"/>
          <w:sz w:val="26"/>
        </w:rPr>
        <w:t>PLATFORM OVERVIEW</w:t>
      </w:r>
    </w:p>
    <w:p>
      <w:pPr>
        <w:spacing w:before="40" w:after="40"/>
        <w:ind w:left="0"/>
        <w:jc w:val="both"/>
      </w:pPr>
      <w:r>
        <w:rPr>
          <w:rFonts w:ascii="Calibri" w:hAnsi="Calibri"/>
          <w:b w:val="0"/>
          <w:i w:val="0"/>
          <w:color w:val="2C3E50"/>
          <w:sz w:val="21"/>
        </w:rPr>
        <w:t>The platform is built on Streamlit — a Python-native web framework that eliminates the need for a separate front-end codebase. The multi-page application consists of one dynamic entry point (app.py) and six specialised assessment pages, each addressing a distinct phase of the information security risk management lifecycle.</w:t>
      </w:r>
    </w:p>
    <w:p>
      <w:pPr>
        <w:spacing w:before="160" w:after="40"/>
        <w:pBdr>
          <w:bottom w:val="single" w:sz="4" w:space="4" w:color="2774C2"/>
        </w:pBdr>
      </w:pPr>
      <w:r>
        <w:rPr>
          <w:rFonts w:ascii="Calibri" w:hAnsi="Calibri"/>
          <w:b/>
          <w:i w:val="0"/>
          <w:color w:val="2774C2"/>
          <w:sz w:val="24"/>
        </w:rPr>
        <w:t>Assessment Lifecycle Flow</w:t>
      </w:r>
    </w:p>
    <w:p>
      <w:pPr>
        <w:spacing w:before="40" w:after="40"/>
        <w:ind w:left="0"/>
        <w:jc w:val="both"/>
      </w:pPr>
      <w:r>
        <w:rPr>
          <w:rFonts w:ascii="Calibri" w:hAnsi="Calibri"/>
          <w:b w:val="0"/>
          <w:i w:val="0"/>
          <w:color w:val="2C3E50"/>
          <w:sz w:val="21"/>
        </w:rPr>
        <w:t>The platform follows the complete NIST SP 800-30 Rev. 1 risk assessment lifecycle: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134"/>
            <w:shd w:fill="0F284A" w:val="clear"/>
            <w:tcBorders>
              <w:bottom w:val="single" w:sz="4" w:color="CCCCC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D4AC0D"/>
                <w:sz w:val="18"/>
              </w:rPr>
              <w:t>STEP 1</w:t>
            </w:r>
          </w:p>
        </w:tc>
        <w:tc>
          <w:tcPr>
            <w:tcW w:type="dxa" w:w="2268"/>
            <w:shd w:fill="0F284A" w:val="clear"/>
            <w:tcBorders>
              <w:bottom w:val="single" w:sz="4" w:color="CCCCC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Asset Inventory</w:t>
            </w:r>
          </w:p>
        </w:tc>
        <w:tc>
          <w:tcPr>
            <w:tcW w:type="dxa" w:w="3289"/>
            <w:shd w:fill="0F284A" w:val="clear"/>
            <w:tcBorders>
              <w:bottom w:val="single" w:sz="4" w:color="CCCCC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Define organisational assets with monetary valuation (USD)</w:t>
            </w:r>
          </w:p>
        </w:tc>
      </w:tr>
      <w:tr>
        <w:tc>
          <w:tcPr>
            <w:tcW w:type="dxa" w:w="1134"/>
            <w:shd w:fill="F4F8FF" w:val="clear"/>
            <w:tcBorders>
              <w:bottom w:val="single" w:sz="4" w:color="CCCCC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2774C2"/>
                <w:sz w:val="18"/>
              </w:rPr>
              <w:t>STEP 2</w:t>
            </w:r>
          </w:p>
        </w:tc>
        <w:tc>
          <w:tcPr>
            <w:tcW w:type="dxa" w:w="2268"/>
            <w:shd w:fill="F4F8FF" w:val="clear"/>
            <w:tcBorders>
              <w:bottom w:val="single" w:sz="4" w:color="CCCCC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2C3E50"/>
                <w:sz w:val="18"/>
              </w:rPr>
              <w:t>Threat Mapping</w:t>
            </w:r>
          </w:p>
        </w:tc>
        <w:tc>
          <w:tcPr>
            <w:tcW w:type="dxa" w:w="3289"/>
            <w:shd w:fill="F4F8FF" w:val="clear"/>
            <w:tcBorders>
              <w:bottom w:val="single" w:sz="4" w:color="CCCCC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556677"/>
                <w:sz w:val="18"/>
              </w:rPr>
              <w:t>Map threats to assets with probability, vulnerability, ARO</w:t>
            </w:r>
          </w:p>
        </w:tc>
      </w:tr>
      <w:tr>
        <w:tc>
          <w:tcPr>
            <w:tcW w:type="dxa" w:w="1134"/>
            <w:shd w:fill="EAF2FB" w:val="clear"/>
            <w:tcBorders>
              <w:bottom w:val="single" w:sz="4" w:color="CCCCC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2774C2"/>
                <w:sz w:val="18"/>
              </w:rPr>
              <w:t>STEP 3</w:t>
            </w:r>
          </w:p>
        </w:tc>
        <w:tc>
          <w:tcPr>
            <w:tcW w:type="dxa" w:w="2268"/>
            <w:shd w:fill="EAF2FB" w:val="clear"/>
            <w:tcBorders>
              <w:bottom w:val="single" w:sz="4" w:color="CCCCC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2C3E50"/>
                <w:sz w:val="18"/>
              </w:rPr>
              <w:t>Quantitative Analysis</w:t>
            </w:r>
          </w:p>
        </w:tc>
        <w:tc>
          <w:tcPr>
            <w:tcW w:type="dxa" w:w="3289"/>
            <w:shd w:fill="EAF2FB" w:val="clear"/>
            <w:tcBorders>
              <w:bottom w:val="single" w:sz="4" w:color="CCCCC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556677"/>
                <w:sz w:val="18"/>
              </w:rPr>
              <w:t>Auto-calculate SLE, ALE, Risk Score, Impact Rating</w:t>
            </w:r>
          </w:p>
        </w:tc>
      </w:tr>
      <w:tr>
        <w:tc>
          <w:tcPr>
            <w:tcW w:type="dxa" w:w="1134"/>
            <w:shd w:fill="F4F8FF" w:val="clear"/>
            <w:tcBorders>
              <w:bottom w:val="single" w:sz="4" w:color="CCCCC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2774C2"/>
                <w:sz w:val="18"/>
              </w:rPr>
              <w:t>STEP 4</w:t>
            </w:r>
          </w:p>
        </w:tc>
        <w:tc>
          <w:tcPr>
            <w:tcW w:type="dxa" w:w="2268"/>
            <w:shd w:fill="F4F8FF" w:val="clear"/>
            <w:tcBorders>
              <w:bottom w:val="single" w:sz="4" w:color="CCCCC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2C3E50"/>
                <w:sz w:val="18"/>
              </w:rPr>
              <w:t>Results Dashboard</w:t>
            </w:r>
          </w:p>
        </w:tc>
        <w:tc>
          <w:tcPr>
            <w:tcW w:type="dxa" w:w="3289"/>
            <w:shd w:fill="F4F8FF" w:val="clear"/>
            <w:tcBorders>
              <w:bottom w:val="single" w:sz="4" w:color="CCCCC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556677"/>
                <w:sz w:val="18"/>
              </w:rPr>
              <w:t>Interactive charts, risk register, heatmap, compliance</w:t>
            </w:r>
          </w:p>
        </w:tc>
      </w:tr>
      <w:tr>
        <w:tc>
          <w:tcPr>
            <w:tcW w:type="dxa" w:w="1134"/>
            <w:shd w:fill="EAF2FB" w:val="clear"/>
            <w:tcBorders>
              <w:bottom w:val="single" w:sz="4" w:color="CCCCC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2774C2"/>
                <w:sz w:val="18"/>
              </w:rPr>
              <w:t>STEP 5</w:t>
            </w:r>
          </w:p>
        </w:tc>
        <w:tc>
          <w:tcPr>
            <w:tcW w:type="dxa" w:w="2268"/>
            <w:shd w:fill="EAF2FB" w:val="clear"/>
            <w:tcBorders>
              <w:bottom w:val="single" w:sz="4" w:color="CCCCC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2C3E50"/>
                <w:sz w:val="18"/>
              </w:rPr>
              <w:t>Threat Intelligence</w:t>
            </w:r>
          </w:p>
        </w:tc>
        <w:tc>
          <w:tcPr>
            <w:tcW w:type="dxa" w:w="3289"/>
            <w:shd w:fill="EAF2FB" w:val="clear"/>
            <w:tcBorders>
              <w:bottom w:val="single" w:sz="4" w:color="CCCCC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556677"/>
                <w:sz w:val="18"/>
              </w:rPr>
              <w:t>Live CVE data per asset from NIST NVD</w:t>
            </w:r>
          </w:p>
        </w:tc>
      </w:tr>
      <w:tr>
        <w:tc>
          <w:tcPr>
            <w:tcW w:type="dxa" w:w="1134"/>
            <w:shd w:fill="F4F8FF" w:val="clear"/>
            <w:tcBorders>
              <w:bottom w:val="single" w:sz="4" w:color="CCCCC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2774C2"/>
                <w:sz w:val="18"/>
              </w:rPr>
              <w:t>STEP 6</w:t>
            </w:r>
          </w:p>
        </w:tc>
        <w:tc>
          <w:tcPr>
            <w:tcW w:type="dxa" w:w="2268"/>
            <w:shd w:fill="F4F8FF" w:val="clear"/>
            <w:tcBorders>
              <w:bottom w:val="single" w:sz="4" w:color="CCCCC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2C3E50"/>
                <w:sz w:val="18"/>
              </w:rPr>
              <w:t>Treatment Planning</w:t>
            </w:r>
          </w:p>
        </w:tc>
        <w:tc>
          <w:tcPr>
            <w:tcW w:type="dxa" w:w="3289"/>
            <w:shd w:fill="F4F8FF" w:val="clear"/>
            <w:tcBorders>
              <w:bottom w:val="single" w:sz="4" w:color="CCCCC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556677"/>
                <w:sz w:val="18"/>
              </w:rPr>
              <w:t>Assign Mitigate / Accept / Transfer / Avoid strategies</w:t>
            </w:r>
          </w:p>
        </w:tc>
      </w:tr>
      <w:tr>
        <w:tc>
          <w:tcPr>
            <w:tcW w:type="dxa" w:w="1134"/>
            <w:shd w:fill="EAF2FB" w:val="clear"/>
            <w:tcBorders>
              <w:bottom w:val="single" w:sz="4" w:color="CCCCC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2774C2"/>
                <w:sz w:val="18"/>
              </w:rPr>
              <w:t>STEP 7</w:t>
            </w:r>
          </w:p>
        </w:tc>
        <w:tc>
          <w:tcPr>
            <w:tcW w:type="dxa" w:w="2268"/>
            <w:shd w:fill="EAF2FB" w:val="clear"/>
            <w:tcBorders>
              <w:bottom w:val="single" w:sz="4" w:color="CCCCC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2C3E50"/>
                <w:sz w:val="18"/>
              </w:rPr>
              <w:t>History &amp; Trends</w:t>
            </w:r>
          </w:p>
        </w:tc>
        <w:tc>
          <w:tcPr>
            <w:tcW w:type="dxa" w:w="3289"/>
            <w:shd w:fill="EAF2FB" w:val="clear"/>
            <w:tcBorders>
              <w:bottom w:val="single" w:sz="4" w:color="CCCCC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556677"/>
                <w:sz w:val="18"/>
              </w:rPr>
              <w:t>ALE trend analysis across multiple assessment runs</w:t>
            </w:r>
          </w:p>
        </w:tc>
      </w:tr>
      <w:tr>
        <w:tc>
          <w:tcPr>
            <w:tcW w:type="dxa" w:w="1134"/>
            <w:shd w:fill="F4F8FF" w:val="clear"/>
            <w:tcBorders>
              <w:bottom w:val="single" w:sz="4" w:color="CCCCC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2774C2"/>
                <w:sz w:val="18"/>
              </w:rPr>
              <w:t>STEP 8</w:t>
            </w:r>
          </w:p>
        </w:tc>
        <w:tc>
          <w:tcPr>
            <w:tcW w:type="dxa" w:w="2268"/>
            <w:shd w:fill="F4F8FF" w:val="clear"/>
            <w:tcBorders>
              <w:bottom w:val="single" w:sz="4" w:color="CCCCC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2C3E50"/>
                <w:sz w:val="18"/>
              </w:rPr>
              <w:t>Reporting</w:t>
            </w:r>
          </w:p>
        </w:tc>
        <w:tc>
          <w:tcPr>
            <w:tcW w:type="dxa" w:w="3289"/>
            <w:shd w:fill="F4F8FF" w:val="clear"/>
            <w:tcBorders>
              <w:bottom w:val="single" w:sz="4" w:color="CCCCC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556677"/>
                <w:sz w:val="18"/>
              </w:rPr>
              <w:t>Download PDF reports: risk register, CBA, compliance</w:t>
            </w:r>
          </w:p>
        </w:tc>
      </w:tr>
    </w:tbl>
    <w:p/>
    <w:p>
      <w:r>
        <w:br w:type="page"/>
      </w:r>
    </w:p>
    <w:p>
      <w:pPr>
        <w:shd w:fill="1D4E89" w:val="clear"/>
        <w:spacing w:before="120" w:after="40"/>
        <w:jc w:val="left"/>
      </w:pPr>
      <w:r>
        <w:rPr>
          <w:rFonts w:ascii="Calibri" w:hAnsi="Calibri"/>
          <w:b/>
          <w:i w:val="0"/>
          <w:color w:val="D4AC0D"/>
          <w:sz w:val="26"/>
        </w:rPr>
        <w:t xml:space="preserve">  03  </w:t>
      </w:r>
      <w:r>
        <w:rPr>
          <w:rFonts w:ascii="Calibri" w:hAnsi="Calibri"/>
          <w:b w:val="0"/>
          <w:i w:val="0"/>
          <w:color w:val="7AA7D3"/>
          <w:sz w:val="26"/>
        </w:rPr>
        <w:t xml:space="preserve">│  </w:t>
      </w:r>
      <w:r>
        <w:rPr>
          <w:rFonts w:ascii="Calibri" w:hAnsi="Calibri"/>
          <w:b/>
          <w:i w:val="0"/>
          <w:color w:val="FFFFFF"/>
          <w:sz w:val="26"/>
        </w:rPr>
        <w:t>TECHNOLOGY STACK</w:t>
      </w:r>
    </w:p>
    <w:p>
      <w:pPr>
        <w:spacing w:before="40" w:after="40"/>
        <w:ind w:left="0"/>
        <w:jc w:val="both"/>
      </w:pPr>
      <w:r>
        <w:rPr>
          <w:rFonts w:ascii="Calibri" w:hAnsi="Calibri"/>
          <w:b w:val="0"/>
          <w:i w:val="0"/>
          <w:color w:val="2C3E50"/>
          <w:sz w:val="21"/>
        </w:rPr>
        <w:t>The platform uses a pure-Python stack with no Node.js, no external front-end build tools, and no cloud services required for core functionality. All components are open-source and installable via pip.</w:t>
      </w:r>
    </w:p>
    <w:p>
      <w:pPr>
        <w:spacing w:before="160" w:after="40"/>
        <w:pBdr>
          <w:bottom w:val="single" w:sz="4" w:space="4" w:color="2774C2"/>
        </w:pBdr>
      </w:pPr>
      <w:r>
        <w:rPr>
          <w:rFonts w:ascii="Calibri" w:hAnsi="Calibri"/>
          <w:b/>
          <w:i w:val="0"/>
          <w:color w:val="2774C2"/>
          <w:sz w:val="24"/>
        </w:rPr>
        <w:t>Core Technologies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01"/>
            <w:shd w:fill="0F284A" w:val="clear"/>
            <w:tcBorders>
              <w:bottom w:val="single" w:sz="8" w:color="2774C2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1984"/>
            <w:shd w:fill="0F284A" w:val="clear"/>
            <w:tcBorders>
              <w:bottom w:val="single" w:sz="8" w:color="2774C2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1417"/>
            <w:shd w:fill="0F284A" w:val="clear"/>
            <w:tcBorders>
              <w:bottom w:val="single" w:sz="8" w:color="2774C2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4252"/>
            <w:shd w:fill="0F284A" w:val="clear"/>
            <w:tcBorders>
              <w:bottom w:val="single" w:sz="8" w:color="2774C2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701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Frontend</w:t>
            </w:r>
          </w:p>
        </w:tc>
        <w:tc>
          <w:tcPr>
            <w:tcW w:type="dxa" w:w="1984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Streamlit</w:t>
            </w:r>
          </w:p>
        </w:tc>
        <w:tc>
          <w:tcPr>
            <w:tcW w:type="dxa" w:w="1417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≥1.28</w:t>
            </w:r>
          </w:p>
        </w:tc>
        <w:tc>
          <w:tcPr>
            <w:tcW w:type="dxa" w:w="4252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Multi-page web UI — no HTML/JS needed</w:t>
            </w:r>
          </w:p>
        </w:tc>
      </w:tr>
      <w:tr>
        <w:tc>
          <w:tcPr>
            <w:tcW w:type="dxa" w:w="1701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Visualisation</w:t>
            </w:r>
          </w:p>
        </w:tc>
        <w:tc>
          <w:tcPr>
            <w:tcW w:type="dxa" w:w="1984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Plotly</w:t>
            </w:r>
          </w:p>
        </w:tc>
        <w:tc>
          <w:tcPr>
            <w:tcW w:type="dxa" w:w="1417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≥5.18</w:t>
            </w:r>
          </w:p>
        </w:tc>
        <w:tc>
          <w:tcPr>
            <w:tcW w:type="dxa" w:w="4252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8 interactive chart types</w:t>
            </w:r>
          </w:p>
        </w:tc>
      </w:tr>
      <w:tr>
        <w:tc>
          <w:tcPr>
            <w:tcW w:type="dxa" w:w="1701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Data</w:t>
            </w:r>
          </w:p>
        </w:tc>
        <w:tc>
          <w:tcPr>
            <w:tcW w:type="dxa" w:w="1984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Pandas</w:t>
            </w:r>
          </w:p>
        </w:tc>
        <w:tc>
          <w:tcPr>
            <w:tcW w:type="dxa" w:w="1417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≥2.0</w:t>
            </w:r>
          </w:p>
        </w:tc>
        <w:tc>
          <w:tcPr>
            <w:tcW w:type="dxa" w:w="4252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CSV handling, DataFrame operations</w:t>
            </w:r>
          </w:p>
        </w:tc>
      </w:tr>
      <w:tr>
        <w:tc>
          <w:tcPr>
            <w:tcW w:type="dxa" w:w="1701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Backend</w:t>
            </w:r>
          </w:p>
        </w:tc>
        <w:tc>
          <w:tcPr>
            <w:tcW w:type="dxa" w:w="1984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Python</w:t>
            </w:r>
          </w:p>
        </w:tc>
        <w:tc>
          <w:tcPr>
            <w:tcW w:type="dxa" w:w="1417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3.11+</w:t>
            </w:r>
          </w:p>
        </w:tc>
        <w:tc>
          <w:tcPr>
            <w:tcW w:type="dxa" w:w="4252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Core language</w:t>
            </w:r>
          </w:p>
        </w:tc>
      </w:tr>
      <w:tr>
        <w:tc>
          <w:tcPr>
            <w:tcW w:type="dxa" w:w="1701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Database</w:t>
            </w:r>
          </w:p>
        </w:tc>
        <w:tc>
          <w:tcPr>
            <w:tcW w:type="dxa" w:w="1984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SQLite (WAL)</w:t>
            </w:r>
          </w:p>
        </w:tc>
        <w:tc>
          <w:tcPr>
            <w:tcW w:type="dxa" w:w="1417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3.x</w:t>
            </w:r>
          </w:p>
        </w:tc>
        <w:tc>
          <w:tcPr>
            <w:tcW w:type="dxa" w:w="4252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7-table relational schema, zero-config</w:t>
            </w:r>
          </w:p>
        </w:tc>
      </w:tr>
      <w:tr>
        <w:tc>
          <w:tcPr>
            <w:tcW w:type="dxa" w:w="1701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Reports</w:t>
            </w:r>
          </w:p>
        </w:tc>
        <w:tc>
          <w:tcPr>
            <w:tcW w:type="dxa" w:w="1984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ReportLab</w:t>
            </w:r>
          </w:p>
        </w:tc>
        <w:tc>
          <w:tcPr>
            <w:tcW w:type="dxa" w:w="1417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≥4.0</w:t>
            </w:r>
          </w:p>
        </w:tc>
        <w:tc>
          <w:tcPr>
            <w:tcW w:type="dxa" w:w="4252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PDF generation with embedded charts</w:t>
            </w:r>
          </w:p>
        </w:tc>
      </w:tr>
      <w:tr>
        <w:tc>
          <w:tcPr>
            <w:tcW w:type="dxa" w:w="1701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AI</w:t>
            </w:r>
          </w:p>
        </w:tc>
        <w:tc>
          <w:tcPr>
            <w:tcW w:type="dxa" w:w="1984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Anthropic Claude</w:t>
            </w:r>
          </w:p>
        </w:tc>
        <w:tc>
          <w:tcPr>
            <w:tcW w:type="dxa" w:w="1417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claude-haiku-4-5</w:t>
            </w:r>
          </w:p>
        </w:tc>
        <w:tc>
          <w:tcPr>
            <w:tcW w:type="dxa" w:w="4252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NIST control recommendations</w:t>
            </w:r>
          </w:p>
        </w:tc>
      </w:tr>
      <w:tr>
        <w:tc>
          <w:tcPr>
            <w:tcW w:type="dxa" w:w="1701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Threat Intel</w:t>
            </w:r>
          </w:p>
        </w:tc>
        <w:tc>
          <w:tcPr>
            <w:tcW w:type="dxa" w:w="1984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NVD API v2.0</w:t>
            </w:r>
          </w:p>
        </w:tc>
        <w:tc>
          <w:tcPr>
            <w:tcW w:type="dxa" w:w="1417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REST</w:t>
            </w:r>
          </w:p>
        </w:tc>
        <w:tc>
          <w:tcPr>
            <w:tcW w:type="dxa" w:w="4252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Live CVE vulnerability data</w:t>
            </w:r>
          </w:p>
        </w:tc>
      </w:tr>
      <w:tr>
        <w:tc>
          <w:tcPr>
            <w:tcW w:type="dxa" w:w="1701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REST API</w:t>
            </w:r>
          </w:p>
        </w:tc>
        <w:tc>
          <w:tcPr>
            <w:tcW w:type="dxa" w:w="1984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Flask</w:t>
            </w:r>
          </w:p>
        </w:tc>
        <w:tc>
          <w:tcPr>
            <w:tcW w:type="dxa" w:w="1417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≥3.0</w:t>
            </w:r>
          </w:p>
        </w:tc>
        <w:tc>
          <w:tcPr>
            <w:tcW w:type="dxa" w:w="4252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Optional JSON API for integrations</w:t>
            </w:r>
          </w:p>
        </w:tc>
      </w:tr>
      <w:tr>
        <w:tc>
          <w:tcPr>
            <w:tcW w:type="dxa" w:w="1701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HTTP Client</w:t>
            </w:r>
          </w:p>
        </w:tc>
        <w:tc>
          <w:tcPr>
            <w:tcW w:type="dxa" w:w="1984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requests</w:t>
            </w:r>
          </w:p>
        </w:tc>
        <w:tc>
          <w:tcPr>
            <w:tcW w:type="dxa" w:w="1417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≥2.31</w:t>
            </w:r>
          </w:p>
        </w:tc>
        <w:tc>
          <w:tcPr>
            <w:tcW w:type="dxa" w:w="4252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NVD API, external integrations</w:t>
            </w:r>
          </w:p>
        </w:tc>
      </w:tr>
      <w:tr>
        <w:tc>
          <w:tcPr>
            <w:tcW w:type="dxa" w:w="1701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Config</w:t>
            </w:r>
          </w:p>
        </w:tc>
        <w:tc>
          <w:tcPr>
            <w:tcW w:type="dxa" w:w="1984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python-dotenv</w:t>
            </w:r>
          </w:p>
        </w:tc>
        <w:tc>
          <w:tcPr>
            <w:tcW w:type="dxa" w:w="1417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≥1.0</w:t>
            </w:r>
          </w:p>
        </w:tc>
        <w:tc>
          <w:tcPr>
            <w:tcW w:type="dxa" w:w="4252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Environment variable management</w:t>
            </w:r>
          </w:p>
        </w:tc>
      </w:tr>
      <w:tr>
        <w:tc>
          <w:tcPr>
            <w:tcW w:type="dxa" w:w="1701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Testing</w:t>
            </w:r>
          </w:p>
        </w:tc>
        <w:tc>
          <w:tcPr>
            <w:tcW w:type="dxa" w:w="1984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pytest</w:t>
            </w:r>
          </w:p>
        </w:tc>
        <w:tc>
          <w:tcPr>
            <w:tcW w:type="dxa" w:w="1417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≥8.0</w:t>
            </w:r>
          </w:p>
        </w:tc>
        <w:tc>
          <w:tcPr>
            <w:tcW w:type="dxa" w:w="4252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Unit + security test suite</w:t>
            </w:r>
          </w:p>
        </w:tc>
      </w:tr>
      <w:tr>
        <w:tc>
          <w:tcPr>
            <w:tcW w:type="dxa" w:w="1701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Dev Env</w:t>
            </w:r>
          </w:p>
        </w:tc>
        <w:tc>
          <w:tcPr>
            <w:tcW w:type="dxa" w:w="1984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Docker / devcontainer</w:t>
            </w:r>
          </w:p>
        </w:tc>
        <w:tc>
          <w:tcPr>
            <w:tcW w:type="dxa" w:w="1417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—</w:t>
            </w:r>
          </w:p>
        </w:tc>
        <w:tc>
          <w:tcPr>
            <w:tcW w:type="dxa" w:w="4252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VS Code Dev Container included</w:t>
            </w:r>
          </w:p>
        </w:tc>
      </w:tr>
      <w:tr>
        <w:tc>
          <w:tcPr>
            <w:tcW w:type="dxa" w:w="1701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Deploy</w:t>
            </w:r>
          </w:p>
        </w:tc>
        <w:tc>
          <w:tcPr>
            <w:tcW w:type="dxa" w:w="1984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Streamlit Cloud</w:t>
            </w:r>
          </w:p>
        </w:tc>
        <w:tc>
          <w:tcPr>
            <w:tcW w:type="dxa" w:w="1417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Free</w:t>
            </w:r>
          </w:p>
        </w:tc>
        <w:tc>
          <w:tcPr>
            <w:tcW w:type="dxa" w:w="4252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One-click cloud deployment</w:t>
            </w:r>
          </w:p>
        </w:tc>
      </w:tr>
    </w:tbl>
    <w:p/>
    <w:p>
      <w:r>
        <w:br w:type="page"/>
      </w:r>
    </w:p>
    <w:p>
      <w:pPr>
        <w:shd w:fill="1D4E89" w:val="clear"/>
        <w:spacing w:before="120" w:after="40"/>
        <w:jc w:val="left"/>
      </w:pPr>
      <w:r>
        <w:rPr>
          <w:rFonts w:ascii="Calibri" w:hAnsi="Calibri"/>
          <w:b/>
          <w:i w:val="0"/>
          <w:color w:val="D4AC0D"/>
          <w:sz w:val="26"/>
        </w:rPr>
        <w:t xml:space="preserve">  04  </w:t>
      </w:r>
      <w:r>
        <w:rPr>
          <w:rFonts w:ascii="Calibri" w:hAnsi="Calibri"/>
          <w:b w:val="0"/>
          <w:i w:val="0"/>
          <w:color w:val="7AA7D3"/>
          <w:sz w:val="26"/>
        </w:rPr>
        <w:t xml:space="preserve">│  </w:t>
      </w:r>
      <w:r>
        <w:rPr>
          <w:rFonts w:ascii="Calibri" w:hAnsi="Calibri"/>
          <w:b/>
          <w:i w:val="0"/>
          <w:color w:val="FFFFFF"/>
          <w:sz w:val="26"/>
        </w:rPr>
        <w:t>SYSTEM ARCHITECTURE</w:t>
      </w:r>
    </w:p>
    <w:p>
      <w:pPr>
        <w:spacing w:before="40" w:after="40"/>
        <w:ind w:left="0"/>
        <w:jc w:val="both"/>
      </w:pPr>
      <w:r>
        <w:rPr>
          <w:rFonts w:ascii="Calibri" w:hAnsi="Calibri"/>
          <w:b w:val="0"/>
          <w:i w:val="0"/>
          <w:color w:val="2C3E50"/>
          <w:sz w:val="21"/>
        </w:rPr>
        <w:t>The platform follows a layered architecture: the Streamlit presentation layer delegates all computation to a separate backend package, which in turn reads and writes to the SQLite database through a typed data-access layer. This separation ensures testability, replaceability of individual components, and clean dependency boundaries.</w:t>
      </w:r>
    </w:p>
    <w:p>
      <w:pPr>
        <w:spacing w:before="160" w:after="40"/>
        <w:pBdr>
          <w:bottom w:val="single" w:sz="4" w:space="4" w:color="2774C2"/>
        </w:pBdr>
      </w:pPr>
      <w:r>
        <w:rPr>
          <w:rFonts w:ascii="Calibri" w:hAnsi="Calibri"/>
          <w:b/>
          <w:i w:val="0"/>
          <w:color w:val="2774C2"/>
          <w:sz w:val="24"/>
        </w:rPr>
        <w:t>Architecture Layers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84"/>
            <w:shd w:fill="2774C2" w:val="clear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PRESENTATION LAYER</w:t>
            </w:r>
          </w:p>
        </w:tc>
        <w:tc>
          <w:tcPr>
            <w:tcW w:type="dxa" w:w="3118"/>
            <w:shd w:fill="EAF2FB" w:val="clear"/>
          </w:tcPr>
          <w:p>
            <w:pPr>
              <w:spacing w:before="100" w:after="100"/>
            </w:pPr>
            <w:r>
              <w:rPr>
                <w:rFonts w:ascii="Courier New" w:hAnsi="Courier New"/>
                <w:b/>
                <w:i w:val="0"/>
                <w:color w:val="1D4E89"/>
                <w:sz w:val="17"/>
              </w:rPr>
              <w:t>Streamlit (app.py + pages/)</w:t>
            </w:r>
          </w:p>
        </w:tc>
        <w:tc>
          <w:tcPr>
            <w:tcW w:type="dxa" w:w="3289"/>
            <w:shd w:fill="F4F8FF" w:val="clear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556677"/>
                <w:sz w:val="18"/>
              </w:rPr>
              <w:t>Multi-page UI, CSS animations, Plotly charts, data editors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84"/>
            <w:shd w:fill="0D7A8A" w:val="clear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SERVICE LAYER</w:t>
            </w:r>
          </w:p>
        </w:tc>
        <w:tc>
          <w:tcPr>
            <w:tcW w:type="dxa" w:w="3118"/>
            <w:shd w:fill="EAF2FB" w:val="clear"/>
          </w:tcPr>
          <w:p>
            <w:pPr>
              <w:spacing w:before="100" w:after="100"/>
            </w:pPr>
            <w:r>
              <w:rPr>
                <w:rFonts w:ascii="Courier New" w:hAnsi="Courier New"/>
                <w:b/>
                <w:i w:val="0"/>
                <w:color w:val="1D4E89"/>
                <w:sz w:val="17"/>
              </w:rPr>
              <w:t>streamlit_lib/services.py + streamlit_lib/charts.py</w:t>
            </w:r>
          </w:p>
        </w:tc>
        <w:tc>
          <w:tcPr>
            <w:tcW w:type="dxa" w:w="3289"/>
            <w:shd w:fill="F4F8FF" w:val="clear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556677"/>
                <w:sz w:val="18"/>
              </w:rPr>
              <w:t>Assessment orchestration, compliance scoring, chart generation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84"/>
            <w:shd w:fill="1D4E89" w:val="clear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BUSINESS LOGIC</w:t>
            </w:r>
          </w:p>
        </w:tc>
        <w:tc>
          <w:tcPr>
            <w:tcW w:type="dxa" w:w="3118"/>
            <w:shd w:fill="EAF2FB" w:val="clear"/>
          </w:tcPr>
          <w:p>
            <w:pPr>
              <w:spacing w:before="100" w:after="100"/>
            </w:pPr>
            <w:r>
              <w:rPr>
                <w:rFonts w:ascii="Courier New" w:hAnsi="Courier New"/>
                <w:b/>
                <w:i w:val="0"/>
                <w:color w:val="1D4E89"/>
                <w:sz w:val="17"/>
              </w:rPr>
              <w:t>backend/modules/ (risk_engine, llm_advisor, cve_fetcher, report_generator)</w:t>
            </w:r>
          </w:p>
        </w:tc>
        <w:tc>
          <w:tcPr>
            <w:tcW w:type="dxa" w:w="3289"/>
            <w:shd w:fill="F4F8FF" w:val="clear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556677"/>
                <w:sz w:val="18"/>
              </w:rPr>
              <w:t>Risk formulas, AI recommendations, CVE parsing, PDF generation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84"/>
            <w:shd w:fill="0F284A" w:val="clear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ACCESS LAYER</w:t>
            </w:r>
          </w:p>
        </w:tc>
        <w:tc>
          <w:tcPr>
            <w:tcW w:type="dxa" w:w="3118"/>
            <w:shd w:fill="EAF2FB" w:val="clear"/>
          </w:tcPr>
          <w:p>
            <w:pPr>
              <w:spacing w:before="100" w:after="100"/>
            </w:pPr>
            <w:r>
              <w:rPr>
                <w:rFonts w:ascii="Courier New" w:hAnsi="Courier New"/>
                <w:b/>
                <w:i w:val="0"/>
                <w:color w:val="1D4E89"/>
                <w:sz w:val="17"/>
              </w:rPr>
              <w:t>backend/database/models.py</w:t>
            </w:r>
          </w:p>
        </w:tc>
        <w:tc>
          <w:tcPr>
            <w:tcW w:type="dxa" w:w="3289"/>
            <w:shd w:fill="F4F8FF" w:val="clear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556677"/>
                <w:sz w:val="18"/>
              </w:rPr>
              <w:t>Parameterised CRUD, upsert semantics, session-partitioned queries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84"/>
            <w:shd w:fill="2C3E50" w:val="clear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DATABASE</w:t>
            </w:r>
          </w:p>
        </w:tc>
        <w:tc>
          <w:tcPr>
            <w:tcW w:type="dxa" w:w="3118"/>
            <w:shd w:fill="EAF2FB" w:val="clear"/>
          </w:tcPr>
          <w:p>
            <w:pPr>
              <w:spacing w:before="100" w:after="100"/>
            </w:pPr>
            <w:r>
              <w:rPr>
                <w:rFonts w:ascii="Courier New" w:hAnsi="Courier New"/>
                <w:b/>
                <w:i w:val="0"/>
                <w:color w:val="1D4E89"/>
                <w:sz w:val="17"/>
              </w:rPr>
              <w:t>SQLite WAL (risk_platform.db)</w:t>
            </w:r>
          </w:p>
        </w:tc>
        <w:tc>
          <w:tcPr>
            <w:tcW w:type="dxa" w:w="3289"/>
            <w:shd w:fill="F4F8FF" w:val="clear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556677"/>
                <w:sz w:val="18"/>
              </w:rPr>
              <w:t>7 tables, 6 indices, FK constraints, cascading deletes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84"/>
            <w:shd w:fill="556677" w:val="clear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EXTERNAL APIS</w:t>
            </w:r>
          </w:p>
        </w:tc>
        <w:tc>
          <w:tcPr>
            <w:tcW w:type="dxa" w:w="3118"/>
            <w:shd w:fill="EAF2FB" w:val="clear"/>
          </w:tcPr>
          <w:p>
            <w:pPr>
              <w:spacing w:before="100" w:after="100"/>
            </w:pPr>
            <w:r>
              <w:rPr>
                <w:rFonts w:ascii="Courier New" w:hAnsi="Courier New"/>
                <w:b/>
                <w:i w:val="0"/>
                <w:color w:val="1D4E89"/>
                <w:sz w:val="17"/>
              </w:rPr>
              <w:t>NIST NVD API v2.0  ·  Anthropic Claude API</w:t>
            </w:r>
          </w:p>
        </w:tc>
        <w:tc>
          <w:tcPr>
            <w:tcW w:type="dxa" w:w="3289"/>
            <w:shd w:fill="F4F8FF" w:val="clear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556677"/>
                <w:sz w:val="18"/>
              </w:rPr>
              <w:t>Live CVE data with mock fallback; LLM with rule-based fallback</w:t>
            </w:r>
          </w:p>
        </w:tc>
      </w:tr>
    </w:tbl>
    <w:p/>
    <w:p>
      <w:pPr>
        <w:spacing w:before="160" w:after="40"/>
        <w:pBdr>
          <w:bottom w:val="single" w:sz="4" w:space="4" w:color="2774C2"/>
        </w:pBdr>
      </w:pPr>
      <w:r>
        <w:rPr>
          <w:rFonts w:ascii="Calibri" w:hAnsi="Calibri"/>
          <w:b/>
          <w:i w:val="0"/>
          <w:color w:val="2774C2"/>
          <w:sz w:val="24"/>
        </w:rPr>
        <w:t>Directory Structure (Key Files)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4252"/>
            <w:shd w:fill="0F284A" w:val="clear"/>
            <w:tcBorders>
              <w:bottom w:val="single" w:sz="8" w:color="2774C2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File / Directory</w:t>
            </w:r>
          </w:p>
        </w:tc>
        <w:tc>
          <w:tcPr>
            <w:tcW w:type="dxa" w:w="850"/>
            <w:shd w:fill="0F284A" w:val="clear"/>
            <w:tcBorders>
              <w:bottom w:val="single" w:sz="8" w:color="2774C2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Lines</w:t>
            </w:r>
          </w:p>
        </w:tc>
        <w:tc>
          <w:tcPr>
            <w:tcW w:type="dxa" w:w="4819"/>
            <w:shd w:fill="0F284A" w:val="clear"/>
            <w:tcBorders>
              <w:bottom w:val="single" w:sz="8" w:color="2774C2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4252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app.py</w:t>
            </w:r>
          </w:p>
        </w:tc>
        <w:tc>
          <w:tcPr>
            <w:tcW w:type="dxa" w:w="850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~210</w:t>
            </w:r>
          </w:p>
        </w:tc>
        <w:tc>
          <w:tcPr>
            <w:tcW w:type="dxa" w:w="4819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Entry point — landing page &amp; executive dashboard</w:t>
            </w:r>
          </w:p>
        </w:tc>
      </w:tr>
      <w:tr>
        <w:tc>
          <w:tcPr>
            <w:tcW w:type="dxa" w:w="4252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pages/1_Assessment.py</w:t>
            </w:r>
          </w:p>
        </w:tc>
        <w:tc>
          <w:tcPr>
            <w:tcW w:type="dxa" w:w="850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~200</w:t>
            </w:r>
          </w:p>
        </w:tc>
        <w:tc>
          <w:tcPr>
            <w:tcW w:type="dxa" w:w="4819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Asset/threat inventory, CSV upload, assessment run</w:t>
            </w:r>
          </w:p>
        </w:tc>
      </w:tr>
      <w:tr>
        <w:tc>
          <w:tcPr>
            <w:tcW w:type="dxa" w:w="4252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pages/2_Results.py</w:t>
            </w:r>
          </w:p>
        </w:tc>
        <w:tc>
          <w:tcPr>
            <w:tcW w:type="dxa" w:w="850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~260</w:t>
            </w:r>
          </w:p>
        </w:tc>
        <w:tc>
          <w:tcPr>
            <w:tcW w:type="dxa" w:w="4819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Risk dashboard, charts, compliance, PDF downloads</w:t>
            </w:r>
          </w:p>
        </w:tc>
      </w:tr>
      <w:tr>
        <w:tc>
          <w:tcPr>
            <w:tcW w:type="dxa" w:w="4252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pages/3_Threat_Intelligence.py</w:t>
            </w:r>
          </w:p>
        </w:tc>
        <w:tc>
          <w:tcPr>
            <w:tcW w:type="dxa" w:w="850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~193</w:t>
            </w:r>
          </w:p>
        </w:tc>
        <w:tc>
          <w:tcPr>
            <w:tcW w:type="dxa" w:w="4819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Live CVE feed from NVD, keyword search</w:t>
            </w:r>
          </w:p>
        </w:tc>
      </w:tr>
      <w:tr>
        <w:tc>
          <w:tcPr>
            <w:tcW w:type="dxa" w:w="4252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pages/4_Treatment_Plan.py</w:t>
            </w:r>
          </w:p>
        </w:tc>
        <w:tc>
          <w:tcPr>
            <w:tcW w:type="dxa" w:w="850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~190</w:t>
            </w:r>
          </w:p>
        </w:tc>
        <w:tc>
          <w:tcPr>
            <w:tcW w:type="dxa" w:w="4819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Risk treatment tracking — inline data_editor</w:t>
            </w:r>
          </w:p>
        </w:tc>
      </w:tr>
      <w:tr>
        <w:tc>
          <w:tcPr>
            <w:tcW w:type="dxa" w:w="4252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pages/5_History.py</w:t>
            </w:r>
          </w:p>
        </w:tc>
        <w:tc>
          <w:tcPr>
            <w:tcW w:type="dxa" w:w="850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~125</w:t>
            </w:r>
          </w:p>
        </w:tc>
        <w:tc>
          <w:tcPr>
            <w:tcW w:type="dxa" w:w="4819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ALE trend chart, per-run assessment history</w:t>
            </w:r>
          </w:p>
        </w:tc>
      </w:tr>
      <w:tr>
        <w:tc>
          <w:tcPr>
            <w:tcW w:type="dxa" w:w="4252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pages/6_Methodology.py</w:t>
            </w:r>
          </w:p>
        </w:tc>
        <w:tc>
          <w:tcPr>
            <w:tcW w:type="dxa" w:w="850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~300</w:t>
            </w:r>
          </w:p>
        </w:tc>
        <w:tc>
          <w:tcPr>
            <w:tcW w:type="dxa" w:w="4819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Academic page — formulas, frameworks, references</w:t>
            </w:r>
          </w:p>
        </w:tc>
      </w:tr>
      <w:tr>
        <w:tc>
          <w:tcPr>
            <w:tcW w:type="dxa" w:w="4252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backend/modules/risk_engine.py</w:t>
            </w:r>
          </w:p>
        </w:tc>
        <w:tc>
          <w:tcPr>
            <w:tcW w:type="dxa" w:w="850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~237</w:t>
            </w:r>
          </w:p>
        </w:tc>
        <w:tc>
          <w:tcPr>
            <w:tcW w:type="dxa" w:w="4819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Core risk calculation engine (8 functions)</w:t>
            </w:r>
          </w:p>
        </w:tc>
      </w:tr>
      <w:tr>
        <w:tc>
          <w:tcPr>
            <w:tcW w:type="dxa" w:w="4252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backend/database/models.py</w:t>
            </w:r>
          </w:p>
        </w:tc>
        <w:tc>
          <w:tcPr>
            <w:tcW w:type="dxa" w:w="850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~461</w:t>
            </w:r>
          </w:p>
        </w:tc>
        <w:tc>
          <w:tcPr>
            <w:tcW w:type="dxa" w:w="4819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Data access layer (30+ CRUD functions)</w:t>
            </w:r>
          </w:p>
        </w:tc>
      </w:tr>
      <w:tr>
        <w:tc>
          <w:tcPr>
            <w:tcW w:type="dxa" w:w="4252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backend/database/schema.sql</w:t>
            </w:r>
          </w:p>
        </w:tc>
        <w:tc>
          <w:tcPr>
            <w:tcW w:type="dxa" w:w="850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~79</w:t>
            </w:r>
          </w:p>
        </w:tc>
        <w:tc>
          <w:tcPr>
            <w:tcW w:type="dxa" w:w="4819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SQLite schema — 7 tables, 6 indices</w:t>
            </w:r>
          </w:p>
        </w:tc>
      </w:tr>
      <w:tr>
        <w:tc>
          <w:tcPr>
            <w:tcW w:type="dxa" w:w="4252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backend/modules/cve_fetcher.py</w:t>
            </w:r>
          </w:p>
        </w:tc>
        <w:tc>
          <w:tcPr>
            <w:tcW w:type="dxa" w:w="850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~131</w:t>
            </w:r>
          </w:p>
        </w:tc>
        <w:tc>
          <w:tcPr>
            <w:tcW w:type="dxa" w:w="4819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NVD API v2.0 with rate limiting + mock fallback</w:t>
            </w:r>
          </w:p>
        </w:tc>
      </w:tr>
      <w:tr>
        <w:tc>
          <w:tcPr>
            <w:tcW w:type="dxa" w:w="4252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backend/modules/report_generator.py</w:t>
            </w:r>
          </w:p>
        </w:tc>
        <w:tc>
          <w:tcPr>
            <w:tcW w:type="dxa" w:w="850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~284</w:t>
            </w:r>
          </w:p>
        </w:tc>
        <w:tc>
          <w:tcPr>
            <w:tcW w:type="dxa" w:w="4819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ReportLab PDF generation (3 report types)</w:t>
            </w:r>
          </w:p>
        </w:tc>
      </w:tr>
      <w:tr>
        <w:tc>
          <w:tcPr>
            <w:tcW w:type="dxa" w:w="4252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streamlit_lib/style.py</w:t>
            </w:r>
          </w:p>
        </w:tc>
        <w:tc>
          <w:tcPr>
            <w:tcW w:type="dxa" w:w="850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~850</w:t>
            </w:r>
          </w:p>
        </w:tc>
        <w:tc>
          <w:tcPr>
            <w:tcW w:type="dxa" w:w="4819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Dark-theme CSS system (20+ CSS animations)</w:t>
            </w:r>
          </w:p>
        </w:tc>
      </w:tr>
      <w:tr>
        <w:tc>
          <w:tcPr>
            <w:tcW w:type="dxa" w:w="4252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streamlit_lib/charts.py</w:t>
            </w:r>
          </w:p>
        </w:tc>
        <w:tc>
          <w:tcPr>
            <w:tcW w:type="dxa" w:w="850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~393</w:t>
            </w:r>
          </w:p>
        </w:tc>
        <w:tc>
          <w:tcPr>
            <w:tcW w:type="dxa" w:w="4819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9 Plotly chart functions</w:t>
            </w:r>
          </w:p>
        </w:tc>
      </w:tr>
      <w:tr>
        <w:tc>
          <w:tcPr>
            <w:tcW w:type="dxa" w:w="4252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TOTAL (production)</w:t>
            </w:r>
          </w:p>
        </w:tc>
        <w:tc>
          <w:tcPr>
            <w:tcW w:type="dxa" w:w="850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4,500+</w:t>
            </w:r>
          </w:p>
        </w:tc>
        <w:tc>
          <w:tcPr>
            <w:tcW w:type="dxa" w:w="4819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Complete platform codebase</w:t>
            </w:r>
          </w:p>
        </w:tc>
      </w:tr>
    </w:tbl>
    <w:p/>
    <w:p>
      <w:r>
        <w:br w:type="page"/>
      </w:r>
    </w:p>
    <w:p>
      <w:pPr>
        <w:shd w:fill="1D4E89" w:val="clear"/>
        <w:spacing w:before="120" w:after="40"/>
        <w:jc w:val="left"/>
      </w:pPr>
      <w:r>
        <w:rPr>
          <w:rFonts w:ascii="Calibri" w:hAnsi="Calibri"/>
          <w:b/>
          <w:i w:val="0"/>
          <w:color w:val="D4AC0D"/>
          <w:sz w:val="26"/>
        </w:rPr>
        <w:t xml:space="preserve">  05  </w:t>
      </w:r>
      <w:r>
        <w:rPr>
          <w:rFonts w:ascii="Calibri" w:hAnsi="Calibri"/>
          <w:b w:val="0"/>
          <w:i w:val="0"/>
          <w:color w:val="7AA7D3"/>
          <w:sz w:val="26"/>
        </w:rPr>
        <w:t xml:space="preserve">│  </w:t>
      </w:r>
      <w:r>
        <w:rPr>
          <w:rFonts w:ascii="Calibri" w:hAnsi="Calibri"/>
          <w:b/>
          <w:i w:val="0"/>
          <w:color w:val="FFFFFF"/>
          <w:sz w:val="26"/>
        </w:rPr>
        <w:t>ACADEMIC FRAMEWORKS &amp; METHODOLOGY</w:t>
      </w:r>
    </w:p>
    <w:p>
      <w:pPr>
        <w:spacing w:before="40" w:after="40"/>
        <w:ind w:left="0"/>
        <w:jc w:val="both"/>
      </w:pPr>
      <w:r>
        <w:rPr>
          <w:rFonts w:ascii="Calibri" w:hAnsi="Calibri"/>
          <w:b w:val="0"/>
          <w:i w:val="0"/>
          <w:color w:val="2C3E50"/>
          <w:sz w:val="21"/>
        </w:rPr>
        <w:t>The platform's methodology is grounded in three internationally recognised information security standards. Each framework contributes a distinct analytical dimension to the overall risk assessment pipeline.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0F284A" w:val="clear"/>
          </w:tcPr>
          <w:p>
            <w:pPr>
              <w:spacing w:before="200" w:after="40"/>
              <w:jc w:val="center"/>
            </w:pPr>
            <w:r>
              <w:rPr>
                <w:rFonts w:ascii="Calibri" w:hAnsi="Calibri"/>
                <w:b w:val="0"/>
                <w:i w:val="0"/>
                <w:color w:val="1D4E89"/>
                <w:sz w:val="40"/>
              </w:rPr>
              <w:t>📋</w:t>
            </w:r>
          </w:p>
        </w:tc>
        <w:tc>
          <w:tcPr>
            <w:tcW w:type="dxa" w:w="3289"/>
            <w:shd w:fill="0F284A" w:val="clear"/>
          </w:tcPr>
          <w:p>
            <w:pPr>
              <w:spacing w:before="200" w:after="40"/>
              <w:jc w:val="center"/>
            </w:pPr>
            <w:r>
              <w:rPr>
                <w:rFonts w:ascii="Calibri" w:hAnsi="Calibri"/>
                <w:b w:val="0"/>
                <w:i w:val="0"/>
                <w:color w:val="0D7A8A"/>
                <w:sz w:val="40"/>
              </w:rPr>
              <w:t>🔬</w:t>
            </w:r>
          </w:p>
        </w:tc>
        <w:tc>
          <w:tcPr>
            <w:tcW w:type="dxa" w:w="3289"/>
            <w:shd w:fill="0F284A" w:val="clear"/>
          </w:tcPr>
          <w:p>
            <w:pPr>
              <w:spacing w:before="200" w:after="40"/>
              <w:jc w:val="center"/>
            </w:pPr>
            <w:r>
              <w:rPr>
                <w:rFonts w:ascii="Calibri" w:hAnsi="Calibri"/>
                <w:b w:val="0"/>
                <w:i w:val="0"/>
                <w:color w:val="0F284A"/>
                <w:sz w:val="40"/>
              </w:rPr>
              <w:t>🌐</w:t>
            </w:r>
          </w:p>
        </w:tc>
      </w:tr>
      <w:tr>
        <w:tc>
          <w:tcPr>
            <w:tcW w:type="dxa" w:w="3289"/>
            <w:shd w:fill="1D4E89" w:val="clea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NIST SP 800-30 Rev. 1</w:t>
            </w:r>
          </w:p>
        </w:tc>
        <w:tc>
          <w:tcPr>
            <w:tcW w:type="dxa" w:w="3289"/>
            <w:shd w:fill="0D7A8A" w:val="clea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AssessITS (Rahman et al., 2024)</w:t>
            </w:r>
          </w:p>
        </w:tc>
        <w:tc>
          <w:tcPr>
            <w:tcW w:type="dxa" w:w="3289"/>
            <w:shd w:fill="0F284A" w:val="clea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ISO/IEC 27001:2022</w:t>
            </w:r>
          </w:p>
        </w:tc>
      </w:tr>
      <w:tr>
        <w:tc>
          <w:tcPr>
            <w:tcW w:type="dxa" w:w="3289"/>
            <w:shd w:fill="F4F8FF" w:val="clear"/>
          </w:tcPr>
          <w:p>
            <w:pPr>
              <w:spacing w:before="120" w:after="120"/>
              <w:ind w:left="113"/>
              <w:jc w:val="left"/>
            </w:pPr>
            <w:r>
              <w:rPr>
                <w:rFonts w:ascii="Calibri" w:hAnsi="Calibri"/>
                <w:b w:val="0"/>
                <w:i w:val="0"/>
                <w:color w:val="556677"/>
                <w:sz w:val="18"/>
              </w:rPr>
              <w:t xml:space="preserve">  Quantitative risk assessment guide.</w:t>
              <w:br/>
              <w:t>Provides SLE, ALE, ARO methodology</w:t>
              <w:br/>
              <w:t>for monetary risk quantification.</w:t>
              <w:br/>
              <w:t>Source: U.S. NIST, 2012.</w:t>
            </w:r>
          </w:p>
        </w:tc>
        <w:tc>
          <w:tcPr>
            <w:tcW w:type="dxa" w:w="3289"/>
            <w:shd w:fill="F4F8FF" w:val="clear"/>
          </w:tcPr>
          <w:p>
            <w:pPr>
              <w:spacing w:before="120" w:after="120"/>
              <w:ind w:left="113"/>
              <w:jc w:val="left"/>
            </w:pPr>
            <w:r>
              <w:rPr>
                <w:rFonts w:ascii="Calibri" w:hAnsi="Calibri"/>
                <w:b w:val="0"/>
                <w:i w:val="0"/>
                <w:color w:val="556677"/>
                <w:sz w:val="18"/>
              </w:rPr>
              <w:t xml:space="preserve">  Automated IS threat assessment model.</w:t>
              <w:br/>
              <w:t>1-250 Risk Impact Rating scale.</w:t>
              <w:br/>
              <w:t>Threat Value = Threat Level + Vuln.</w:t>
              <w:br/>
              <w:t>arXiv:2410.01750.</w:t>
            </w:r>
          </w:p>
        </w:tc>
        <w:tc>
          <w:tcPr>
            <w:tcW w:type="dxa" w:w="3289"/>
            <w:shd w:fill="F4F8FF" w:val="clear"/>
          </w:tcPr>
          <w:p>
            <w:pPr>
              <w:spacing w:before="120" w:after="120"/>
              <w:ind w:left="113"/>
              <w:jc w:val="left"/>
            </w:pPr>
            <w:r>
              <w:rPr>
                <w:rFonts w:ascii="Calibri" w:hAnsi="Calibri"/>
                <w:b w:val="0"/>
                <w:i w:val="0"/>
                <w:color w:val="556677"/>
                <w:sz w:val="18"/>
              </w:rPr>
              <w:t xml:space="preserve">  International ISMS standard.</w:t>
              <w:br/>
              <w:t>Risk treatment strategies:</w:t>
              <w:br/>
              <w:t>Mitigate / Accept / Transfer / Avoid.</w:t>
              <w:br/>
              <w:t>Clause 6.1.3 — risk treatment.</w:t>
            </w:r>
          </w:p>
        </w:tc>
      </w:tr>
    </w:tbl>
    <w:p/>
    <w:p>
      <w:pPr>
        <w:spacing w:before="160" w:after="40"/>
        <w:pBdr>
          <w:bottom w:val="single" w:sz="4" w:space="4" w:color="2774C2"/>
        </w:pBdr>
      </w:pPr>
      <w:r>
        <w:rPr>
          <w:rFonts w:ascii="Calibri" w:hAnsi="Calibri"/>
          <w:b/>
          <w:i w:val="0"/>
          <w:color w:val="2774C2"/>
          <w:sz w:val="24"/>
        </w:rPr>
        <w:t>Framework Contribution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84"/>
            <w:shd w:fill="0F284A" w:val="clear"/>
            <w:tcBorders>
              <w:bottom w:val="single" w:sz="8" w:color="2774C2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Framework</w:t>
            </w:r>
          </w:p>
        </w:tc>
        <w:tc>
          <w:tcPr>
            <w:tcW w:type="dxa" w:w="3118"/>
            <w:shd w:fill="0F284A" w:val="clear"/>
            <w:tcBorders>
              <w:bottom w:val="single" w:sz="8" w:color="2774C2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Contribution to Platform</w:t>
            </w:r>
          </w:p>
        </w:tc>
        <w:tc>
          <w:tcPr>
            <w:tcW w:type="dxa" w:w="4819"/>
            <w:shd w:fill="0F284A" w:val="clear"/>
            <w:tcBorders>
              <w:bottom w:val="single" w:sz="8" w:color="2774C2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1984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NIST SP 800-30</w:t>
            </w:r>
          </w:p>
        </w:tc>
        <w:tc>
          <w:tcPr>
            <w:tcW w:type="dxa" w:w="3118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SLE / ALE / ARO quantitative formulas</w:t>
            </w:r>
          </w:p>
        </w:tc>
        <w:tc>
          <w:tcPr>
            <w:tcW w:type="dxa" w:w="4819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risk_engine.py → calculate_sle, calculate_ale</w:t>
            </w:r>
          </w:p>
        </w:tc>
      </w:tr>
      <w:tr>
        <w:tc>
          <w:tcPr>
            <w:tcW w:type="dxa" w:w="1984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NIST SP 800-30</w:t>
            </w:r>
          </w:p>
        </w:tc>
        <w:tc>
          <w:tcPr>
            <w:tcW w:type="dxa" w:w="3118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Composite Risk Score (P×V−M+U)</w:t>
            </w:r>
          </w:p>
        </w:tc>
        <w:tc>
          <w:tcPr>
            <w:tcW w:type="dxa" w:w="4819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risk_engine.py → calculate_risk_score</w:t>
            </w:r>
          </w:p>
        </w:tc>
      </w:tr>
      <w:tr>
        <w:tc>
          <w:tcPr>
            <w:tcW w:type="dxa" w:w="1984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NIST SP 800-30</w:t>
            </w:r>
          </w:p>
        </w:tc>
        <w:tc>
          <w:tcPr>
            <w:tcW w:type="dxa" w:w="3118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20-control compliance tracking</w:t>
            </w:r>
          </w:p>
        </w:tc>
        <w:tc>
          <w:tcPr>
            <w:tcW w:type="dxa" w:w="4819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constants.py + compliance_status table</w:t>
            </w:r>
          </w:p>
        </w:tc>
      </w:tr>
      <w:tr>
        <w:tc>
          <w:tcPr>
            <w:tcW w:type="dxa" w:w="1984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AssessITS</w:t>
            </w:r>
          </w:p>
        </w:tc>
        <w:tc>
          <w:tcPr>
            <w:tcW w:type="dxa" w:w="3118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1–250 Risk Impact Rating</w:t>
            </w:r>
          </w:p>
        </w:tc>
        <w:tc>
          <w:tcPr>
            <w:tcW w:type="dxa" w:w="4819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risk_engine.py → calculate_risk_impact_rating</w:t>
            </w:r>
          </w:p>
        </w:tc>
      </w:tr>
      <w:tr>
        <w:tc>
          <w:tcPr>
            <w:tcW w:type="dxa" w:w="1984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AssessITS</w:t>
            </w:r>
          </w:p>
        </w:tc>
        <w:tc>
          <w:tcPr>
            <w:tcW w:type="dxa" w:w="3118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Threat Value (TL + VS)</w:t>
            </w:r>
          </w:p>
        </w:tc>
        <w:tc>
          <w:tcPr>
            <w:tcW w:type="dxa" w:w="4819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risk_engine.py → calculate_threat_value</w:t>
            </w:r>
          </w:p>
        </w:tc>
      </w:tr>
      <w:tr>
        <w:tc>
          <w:tcPr>
            <w:tcW w:type="dxa" w:w="1984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AssessITS</w:t>
            </w:r>
          </w:p>
        </w:tc>
        <w:tc>
          <w:tcPr>
            <w:tcW w:type="dxa" w:w="3118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Asset normalisation to 1–5 scale</w:t>
            </w:r>
          </w:p>
        </w:tc>
        <w:tc>
          <w:tcPr>
            <w:tcW w:type="dxa" w:w="4819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risk_engine.py → normalise_asset_value</w:t>
            </w:r>
          </w:p>
        </w:tc>
      </w:tr>
      <w:tr>
        <w:tc>
          <w:tcPr>
            <w:tcW w:type="dxa" w:w="1984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AssessITS</w:t>
            </w:r>
          </w:p>
        </w:tc>
        <w:tc>
          <w:tcPr>
            <w:tcW w:type="dxa" w:w="3118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Criticality bands (Low/Med/High/Crit)</w:t>
            </w:r>
          </w:p>
        </w:tc>
        <w:tc>
          <w:tcPr>
            <w:tcW w:type="dxa" w:w="4819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risk_engine.py → get_criticality</w:t>
            </w:r>
          </w:p>
        </w:tc>
      </w:tr>
      <w:tr>
        <w:tc>
          <w:tcPr>
            <w:tcW w:type="dxa" w:w="1984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ISO 27001</w:t>
            </w:r>
          </w:p>
        </w:tc>
        <w:tc>
          <w:tcPr>
            <w:tcW w:type="dxa" w:w="3118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Risk treatment strategies</w:t>
            </w:r>
          </w:p>
        </w:tc>
        <w:tc>
          <w:tcPr>
            <w:tcW w:type="dxa" w:w="4819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treatment_plans table, Treatment Plan page</w:t>
            </w:r>
          </w:p>
        </w:tc>
      </w:tr>
      <w:tr>
        <w:tc>
          <w:tcPr>
            <w:tcW w:type="dxa" w:w="1984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ISO 27001</w:t>
            </w:r>
          </w:p>
        </w:tc>
        <w:tc>
          <w:tcPr>
            <w:tcW w:type="dxa" w:w="3118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Control implementation status</w:t>
            </w:r>
          </w:p>
        </w:tc>
        <w:tc>
          <w:tcPr>
            <w:tcW w:type="dxa" w:w="4819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compliance_status table, Results page</w:t>
            </w:r>
          </w:p>
        </w:tc>
      </w:tr>
      <w:tr>
        <w:tc>
          <w:tcPr>
            <w:tcW w:type="dxa" w:w="1984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NIST 800-53</w:t>
            </w:r>
          </w:p>
        </w:tc>
        <w:tc>
          <w:tcPr>
            <w:tcW w:type="dxa" w:w="3118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20 control families mapped</w:t>
            </w:r>
          </w:p>
        </w:tc>
        <w:tc>
          <w:tcPr>
            <w:tcW w:type="dxa" w:w="4819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constants.py NIST_CONTROLS list</w:t>
            </w:r>
          </w:p>
        </w:tc>
      </w:tr>
    </w:tbl>
    <w:p/>
    <w:p>
      <w:r>
        <w:br w:type="page"/>
      </w:r>
    </w:p>
    <w:p>
      <w:pPr>
        <w:shd w:fill="1D4E89" w:val="clear"/>
        <w:spacing w:before="120" w:after="40"/>
        <w:jc w:val="left"/>
      </w:pPr>
      <w:r>
        <w:rPr>
          <w:rFonts w:ascii="Calibri" w:hAnsi="Calibri"/>
          <w:b/>
          <w:i w:val="0"/>
          <w:color w:val="D4AC0D"/>
          <w:sz w:val="26"/>
        </w:rPr>
        <w:t xml:space="preserve">  06  </w:t>
      </w:r>
      <w:r>
        <w:rPr>
          <w:rFonts w:ascii="Calibri" w:hAnsi="Calibri"/>
          <w:b w:val="0"/>
          <w:i w:val="0"/>
          <w:color w:val="7AA7D3"/>
          <w:sz w:val="26"/>
        </w:rPr>
        <w:t xml:space="preserve">│  </w:t>
      </w:r>
      <w:r>
        <w:rPr>
          <w:rFonts w:ascii="Calibri" w:hAnsi="Calibri"/>
          <w:b/>
          <w:i w:val="0"/>
          <w:color w:val="FFFFFF"/>
          <w:sz w:val="26"/>
        </w:rPr>
        <w:t>QUANTITATIVE RISK FORMULAS</w:t>
      </w:r>
    </w:p>
    <w:p>
      <w:pPr>
        <w:spacing w:before="40" w:after="40"/>
        <w:ind w:left="0"/>
        <w:jc w:val="both"/>
      </w:pPr>
      <w:r>
        <w:rPr>
          <w:rFonts w:ascii="Calibri" w:hAnsi="Calibri"/>
          <w:b w:val="0"/>
          <w:i w:val="0"/>
          <w:color w:val="2C3E50"/>
          <w:sz w:val="21"/>
        </w:rPr>
        <w:t>All formulas are implemented in backend/modules/risk_engine.py with full input validation. The engine processes each asset–threat pair independently and returns a complete risk register entry with all metrics populated.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0F284A" w:val="clear"/>
            <w:tcBorders>
              <w:top w:val="single" w:sz="10" w:color="2774C2"/>
              <w:left w:val="single" w:sz="10" w:color="2774C2"/>
              <w:bottom w:val="single" w:sz="10" w:color="2774C2"/>
              <w:right w:val="single" w:sz="10" w:color="2774C2"/>
            </w:tcBorders>
          </w:tcPr>
          <w:p/>
          <w:p>
            <w:pPr>
              <w:spacing w:before="80" w:after="0"/>
              <w:ind w:left="170"/>
            </w:pPr>
            <w:r>
              <w:rPr>
                <w:rFonts w:ascii="Calibri" w:hAnsi="Calibri"/>
                <w:b/>
                <w:i w:val="0"/>
                <w:color w:val="A8C8EC"/>
                <w:sz w:val="18"/>
              </w:rPr>
              <w:t xml:space="preserve">  ƒ  Single Loss Expectancy (SLE)  —  NIST SP 800-30</w:t>
            </w:r>
          </w:p>
          <w:p>
            <w:pPr>
              <w:spacing w:before="120" w:after="80"/>
              <w:jc w:val="center"/>
            </w:pPr>
            <w:r>
              <w:rPr>
                <w:rFonts w:ascii="Courier New" w:hAnsi="Courier New"/>
                <w:b/>
                <w:i w:val="0"/>
                <w:color w:val="D4AC0D"/>
                <w:sz w:val="28"/>
              </w:rPr>
              <w:t>SLE  =  Asset_Value  ×  Exposure_Factor</w:t>
            </w:r>
          </w:p>
          <w:p>
            <w:pPr>
              <w:spacing w:before="20" w:after="20"/>
              <w:ind w:left="454"/>
            </w:pPr>
            <w:r>
              <w:rPr>
                <w:rFonts w:ascii="Calibri" w:hAnsi="Calibri"/>
                <w:b w:val="0"/>
                <w:i w:val="0"/>
                <w:color w:val="78A7D0"/>
                <w:sz w:val="18"/>
              </w:rPr>
              <w:t xml:space="preserve">  •  Asset_Value: Monetary value of the asset (USD)</w:t>
            </w:r>
          </w:p>
          <w:p>
            <w:pPr>
              <w:spacing w:before="20" w:after="20"/>
              <w:ind w:left="454"/>
            </w:pPr>
            <w:r>
              <w:rPr>
                <w:rFonts w:ascii="Calibri" w:hAnsi="Calibri"/>
                <w:b w:val="0"/>
                <w:i w:val="0"/>
                <w:color w:val="78A7D0"/>
                <w:sz w:val="18"/>
              </w:rPr>
              <w:t xml:space="preserve">  •  Exposure_Factor: Fraction of asset value lost per incident (0.0 – 1.0)</w:t>
            </w:r>
          </w:p>
          <w:p>
            <w:pPr>
              <w:spacing w:before="20" w:after="20"/>
              <w:ind w:left="454"/>
            </w:pPr>
            <w:r>
              <w:rPr>
                <w:rFonts w:ascii="Calibri" w:hAnsi="Calibri"/>
                <w:b w:val="0"/>
                <w:i w:val="0"/>
                <w:color w:val="78A7D0"/>
                <w:sz w:val="18"/>
              </w:rPr>
              <w:t xml:space="preserve">  •  Example: $850,000 × 0.40 = $340,000 SLE</w:t>
            </w:r>
          </w:p>
          <w:p>
            <w:pPr>
              <w:spacing w:before="80" w:after="120"/>
              <w:jc w:val="center"/>
            </w:pPr>
            <w:r>
              <w:rPr>
                <w:rFonts w:ascii="Calibri" w:hAnsi="Calibri"/>
                <w:b/>
                <w:i w:val="0"/>
                <w:color w:val="48BB78"/>
                <w:sz w:val="18"/>
              </w:rPr>
              <w:t>Result Range:  $0 – unlimited (USD)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0F284A" w:val="clear"/>
            <w:tcBorders>
              <w:top w:val="single" w:sz="10" w:color="2774C2"/>
              <w:left w:val="single" w:sz="10" w:color="2774C2"/>
              <w:bottom w:val="single" w:sz="10" w:color="2774C2"/>
              <w:right w:val="single" w:sz="10" w:color="2774C2"/>
            </w:tcBorders>
          </w:tcPr>
          <w:p/>
          <w:p>
            <w:pPr>
              <w:spacing w:before="80" w:after="0"/>
              <w:ind w:left="170"/>
            </w:pPr>
            <w:r>
              <w:rPr>
                <w:rFonts w:ascii="Calibri" w:hAnsi="Calibri"/>
                <w:b/>
                <w:i w:val="0"/>
                <w:color w:val="A8C8EC"/>
                <w:sz w:val="18"/>
              </w:rPr>
              <w:t xml:space="preserve">  ƒ  Annualised Loss Expectancy (ALE)  —  NIST SP 800-30</w:t>
            </w:r>
          </w:p>
          <w:p>
            <w:pPr>
              <w:spacing w:before="120" w:after="80"/>
              <w:jc w:val="center"/>
            </w:pPr>
            <w:r>
              <w:rPr>
                <w:rFonts w:ascii="Courier New" w:hAnsi="Courier New"/>
                <w:b/>
                <w:i w:val="0"/>
                <w:color w:val="D4AC0D"/>
                <w:sz w:val="28"/>
              </w:rPr>
              <w:t>ALE  =  SLE  ×  ARO</w:t>
            </w:r>
          </w:p>
          <w:p>
            <w:pPr>
              <w:spacing w:before="20" w:after="20"/>
              <w:ind w:left="454"/>
            </w:pPr>
            <w:r>
              <w:rPr>
                <w:rFonts w:ascii="Calibri" w:hAnsi="Calibri"/>
                <w:b w:val="0"/>
                <w:i w:val="0"/>
                <w:color w:val="78A7D0"/>
                <w:sz w:val="18"/>
              </w:rPr>
              <w:t xml:space="preserve">  •  SLE: Single Loss Expectancy (from formula above)</w:t>
            </w:r>
          </w:p>
          <w:p>
            <w:pPr>
              <w:spacing w:before="20" w:after="20"/>
              <w:ind w:left="454"/>
            </w:pPr>
            <w:r>
              <w:rPr>
                <w:rFonts w:ascii="Calibri" w:hAnsi="Calibri"/>
                <w:b w:val="0"/>
                <w:i w:val="0"/>
                <w:color w:val="78A7D0"/>
                <w:sz w:val="18"/>
              </w:rPr>
              <w:t xml:space="preserve">  •  ARO: Annualised Rate of Occurrence — expected incidents per year</w:t>
            </w:r>
          </w:p>
          <w:p>
            <w:pPr>
              <w:spacing w:before="20" w:after="20"/>
              <w:ind w:left="454"/>
            </w:pPr>
            <w:r>
              <w:rPr>
                <w:rFonts w:ascii="Calibri" w:hAnsi="Calibri"/>
                <w:b w:val="0"/>
                <w:i w:val="0"/>
                <w:color w:val="78A7D0"/>
                <w:sz w:val="18"/>
              </w:rPr>
              <w:t xml:space="preserve">  •  Example: $340,000 × 1.2 = $408,000 ALE per year</w:t>
            </w:r>
          </w:p>
          <w:p>
            <w:pPr>
              <w:spacing w:before="80" w:after="120"/>
              <w:jc w:val="center"/>
            </w:pPr>
            <w:r>
              <w:rPr>
                <w:rFonts w:ascii="Calibri" w:hAnsi="Calibri"/>
                <w:b/>
                <w:i w:val="0"/>
                <w:color w:val="48BB78"/>
                <w:sz w:val="18"/>
              </w:rPr>
              <w:t>Result Range:  $0 – unlimited (USD/year)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0F284A" w:val="clear"/>
            <w:tcBorders>
              <w:top w:val="single" w:sz="10" w:color="2774C2"/>
              <w:left w:val="single" w:sz="10" w:color="2774C2"/>
              <w:bottom w:val="single" w:sz="10" w:color="2774C2"/>
              <w:right w:val="single" w:sz="10" w:color="2774C2"/>
            </w:tcBorders>
          </w:tcPr>
          <w:p/>
          <w:p>
            <w:pPr>
              <w:spacing w:before="80" w:after="0"/>
              <w:ind w:left="170"/>
            </w:pPr>
            <w:r>
              <w:rPr>
                <w:rFonts w:ascii="Calibri" w:hAnsi="Calibri"/>
                <w:b/>
                <w:i w:val="0"/>
                <w:color w:val="A8C8EC"/>
                <w:sz w:val="18"/>
              </w:rPr>
              <w:t xml:space="preserve">  ƒ  Composite Risk Score  —  NIST SP 800-30</w:t>
            </w:r>
          </w:p>
          <w:p>
            <w:pPr>
              <w:spacing w:before="120" w:after="80"/>
              <w:jc w:val="center"/>
            </w:pPr>
            <w:r>
              <w:rPr>
                <w:rFonts w:ascii="Courier New" w:hAnsi="Courier New"/>
                <w:b/>
                <w:i w:val="0"/>
                <w:color w:val="D4AC0D"/>
                <w:sz w:val="28"/>
              </w:rPr>
              <w:t>R  =  (P × V)  −  M  +  U</w:t>
            </w:r>
          </w:p>
          <w:p>
            <w:pPr>
              <w:spacing w:before="20" w:after="20"/>
              <w:ind w:left="454"/>
            </w:pPr>
            <w:r>
              <w:rPr>
                <w:rFonts w:ascii="Calibri" w:hAnsi="Calibri"/>
                <w:b w:val="0"/>
                <w:i w:val="0"/>
                <w:color w:val="78A7D0"/>
                <w:sz w:val="18"/>
              </w:rPr>
              <w:t xml:space="preserve">  •  P: Probability of threat occurrence (0.0 – 1.0)</w:t>
            </w:r>
          </w:p>
          <w:p>
            <w:pPr>
              <w:spacing w:before="20" w:after="20"/>
              <w:ind w:left="454"/>
            </w:pPr>
            <w:r>
              <w:rPr>
                <w:rFonts w:ascii="Calibri" w:hAnsi="Calibri"/>
                <w:b w:val="0"/>
                <w:i w:val="0"/>
                <w:color w:val="78A7D0"/>
                <w:sz w:val="18"/>
              </w:rPr>
              <w:t xml:space="preserve">  •  V: Vulnerability severity score (1 – 5)</w:t>
            </w:r>
          </w:p>
          <w:p>
            <w:pPr>
              <w:spacing w:before="20" w:after="20"/>
              <w:ind w:left="454"/>
            </w:pPr>
            <w:r>
              <w:rPr>
                <w:rFonts w:ascii="Calibri" w:hAnsi="Calibri"/>
                <w:b w:val="0"/>
                <w:i w:val="0"/>
                <w:color w:val="78A7D0"/>
                <w:sz w:val="18"/>
              </w:rPr>
              <w:t xml:space="preserve">  •  M: Mitigation effectiveness (0.0 – 1.0)</w:t>
            </w:r>
          </w:p>
          <w:p>
            <w:pPr>
              <w:spacing w:before="20" w:after="20"/>
              <w:ind w:left="454"/>
            </w:pPr>
            <w:r>
              <w:rPr>
                <w:rFonts w:ascii="Calibri" w:hAnsi="Calibri"/>
                <w:b w:val="0"/>
                <w:i w:val="0"/>
                <w:color w:val="78A7D0"/>
                <w:sz w:val="18"/>
              </w:rPr>
              <w:t xml:space="preserve">  •  U: Uncertainty margin (default 0.1 = 10%)</w:t>
            </w:r>
          </w:p>
          <w:p>
            <w:pPr>
              <w:spacing w:before="20" w:after="20"/>
              <w:ind w:left="454"/>
            </w:pPr>
            <w:r>
              <w:rPr>
                <w:rFonts w:ascii="Calibri" w:hAnsi="Calibri"/>
                <w:b w:val="0"/>
                <w:i w:val="0"/>
                <w:color w:val="78A7D0"/>
                <w:sz w:val="18"/>
              </w:rPr>
              <w:t xml:space="preserve">  •  Example: (0.65 × 5) − 0.30 + 0.15 = 3.50 (High)</w:t>
            </w:r>
          </w:p>
          <w:p>
            <w:pPr>
              <w:spacing w:before="80" w:after="120"/>
              <w:jc w:val="center"/>
            </w:pPr>
            <w:r>
              <w:rPr>
                <w:rFonts w:ascii="Calibri" w:hAnsi="Calibri"/>
                <w:b/>
                <w:i w:val="0"/>
                <w:color w:val="48BB78"/>
                <w:sz w:val="18"/>
              </w:rPr>
              <w:t>Result Range:  Typically 0.0 – 5.0 (unbounded)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0F284A" w:val="clear"/>
            <w:tcBorders>
              <w:top w:val="single" w:sz="10" w:color="2774C2"/>
              <w:left w:val="single" w:sz="10" w:color="2774C2"/>
              <w:bottom w:val="single" w:sz="10" w:color="2774C2"/>
              <w:right w:val="single" w:sz="10" w:color="2774C2"/>
            </w:tcBorders>
          </w:tcPr>
          <w:p/>
          <w:p>
            <w:pPr>
              <w:spacing w:before="80" w:after="0"/>
              <w:ind w:left="170"/>
            </w:pPr>
            <w:r>
              <w:rPr>
                <w:rFonts w:ascii="Calibri" w:hAnsi="Calibri"/>
                <w:b/>
                <w:i w:val="0"/>
                <w:color w:val="A8C8EC"/>
                <w:sz w:val="18"/>
              </w:rPr>
              <w:t xml:space="preserve">  ƒ  Risk Impact Rating  —  AssessITS (Rahman et al., 2024)</w:t>
            </w:r>
          </w:p>
          <w:p>
            <w:pPr>
              <w:spacing w:before="120" w:after="80"/>
              <w:jc w:val="center"/>
            </w:pPr>
            <w:r>
              <w:rPr>
                <w:rFonts w:ascii="Courier New" w:hAnsi="Courier New"/>
                <w:b/>
                <w:i w:val="0"/>
                <w:color w:val="D4AC0D"/>
                <w:sz w:val="28"/>
              </w:rPr>
              <w:t>RIR  =  Asset_Scale  ×  Threat_Value  ×  Likelihood</w:t>
            </w:r>
          </w:p>
          <w:p>
            <w:pPr>
              <w:spacing w:before="20" w:after="20"/>
              <w:ind w:left="454"/>
            </w:pPr>
            <w:r>
              <w:rPr>
                <w:rFonts w:ascii="Calibri" w:hAnsi="Calibri"/>
                <w:b w:val="0"/>
                <w:i w:val="0"/>
                <w:color w:val="78A7D0"/>
                <w:sz w:val="18"/>
              </w:rPr>
              <w:t xml:space="preserve">  •  Asset_Scale = 1.0 + (min(Value_USD, $1M) / $1M) × 4.0  →  range: 1.0–5.0</w:t>
            </w:r>
          </w:p>
          <w:p>
            <w:pPr>
              <w:spacing w:before="20" w:after="20"/>
              <w:ind w:left="454"/>
            </w:pPr>
            <w:r>
              <w:rPr>
                <w:rFonts w:ascii="Calibri" w:hAnsi="Calibri"/>
                <w:b w:val="0"/>
                <w:i w:val="0"/>
                <w:color w:val="78A7D0"/>
                <w:sz w:val="18"/>
              </w:rPr>
              <w:t xml:space="preserve">  •  Threat_Value = Threat_Level + Vulnerability_Score  →  range: 2–10</w:t>
            </w:r>
          </w:p>
          <w:p>
            <w:pPr>
              <w:spacing w:before="20" w:after="20"/>
              <w:ind w:left="454"/>
            </w:pPr>
            <w:r>
              <w:rPr>
                <w:rFonts w:ascii="Calibri" w:hAnsi="Calibri"/>
                <w:b w:val="0"/>
                <w:i w:val="0"/>
                <w:color w:val="78A7D0"/>
                <w:sz w:val="18"/>
              </w:rPr>
              <w:t xml:space="preserve">  •  Likelihood = Probability × 5  →  range: 0.0–5.0</w:t>
            </w:r>
          </w:p>
          <w:p>
            <w:pPr>
              <w:spacing w:before="20" w:after="20"/>
              <w:ind w:left="454"/>
            </w:pPr>
            <w:r>
              <w:rPr>
                <w:rFonts w:ascii="Calibri" w:hAnsi="Calibri"/>
                <w:b w:val="0"/>
                <w:i w:val="0"/>
                <w:color w:val="78A7D0"/>
                <w:sz w:val="18"/>
              </w:rPr>
              <w:t xml:space="preserve">  •  Example: 3.0 × 10 × 4.0 = 120 (HIGH band)</w:t>
            </w:r>
          </w:p>
          <w:p>
            <w:pPr>
              <w:spacing w:before="80" w:after="120"/>
              <w:jc w:val="center"/>
            </w:pPr>
            <w:r>
              <w:rPr>
                <w:rFonts w:ascii="Calibri" w:hAnsi="Calibri"/>
                <w:b/>
                <w:i w:val="0"/>
                <w:color w:val="48BB78"/>
                <w:sz w:val="18"/>
              </w:rPr>
              <w:t>Result Range:  1 – 250 (AssessITS calibrated band)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0F284A" w:val="clear"/>
            <w:tcBorders>
              <w:top w:val="single" w:sz="10" w:color="2774C2"/>
              <w:left w:val="single" w:sz="10" w:color="2774C2"/>
              <w:bottom w:val="single" w:sz="10" w:color="2774C2"/>
              <w:right w:val="single" w:sz="10" w:color="2774C2"/>
            </w:tcBorders>
          </w:tcPr>
          <w:p/>
          <w:p>
            <w:pPr>
              <w:spacing w:before="80" w:after="0"/>
              <w:ind w:left="170"/>
            </w:pPr>
            <w:r>
              <w:rPr>
                <w:rFonts w:ascii="Calibri" w:hAnsi="Calibri"/>
                <w:b/>
                <w:i w:val="0"/>
                <w:color w:val="A8C8EC"/>
                <w:sz w:val="18"/>
              </w:rPr>
              <w:t xml:space="preserve">  ƒ  Cost-Benefit Analysis (CBA)  —  NIST SP 800-30</w:t>
            </w:r>
          </w:p>
          <w:p>
            <w:pPr>
              <w:spacing w:before="120" w:after="80"/>
              <w:jc w:val="center"/>
            </w:pPr>
            <w:r>
              <w:rPr>
                <w:rFonts w:ascii="Courier New" w:hAnsi="Courier New"/>
                <w:b/>
                <w:i w:val="0"/>
                <w:color w:val="D4AC0D"/>
                <w:sz w:val="28"/>
              </w:rPr>
              <w:t>CBA  =  ALE_Before  −  ALE_After  −  Control_Cost</w:t>
            </w:r>
          </w:p>
          <w:p>
            <w:pPr>
              <w:spacing w:before="20" w:after="20"/>
              <w:ind w:left="454"/>
            </w:pPr>
            <w:r>
              <w:rPr>
                <w:rFonts w:ascii="Calibri" w:hAnsi="Calibri"/>
                <w:b w:val="0"/>
                <w:i w:val="0"/>
                <w:color w:val="78A7D0"/>
                <w:sz w:val="18"/>
              </w:rPr>
              <w:t xml:space="preserve">  •  ALE_Before: Annual loss without control</w:t>
            </w:r>
          </w:p>
          <w:p>
            <w:pPr>
              <w:spacing w:before="20" w:after="20"/>
              <w:ind w:left="454"/>
            </w:pPr>
            <w:r>
              <w:rPr>
                <w:rFonts w:ascii="Calibri" w:hAnsi="Calibri"/>
                <w:b w:val="0"/>
                <w:i w:val="0"/>
                <w:color w:val="78A7D0"/>
                <w:sz w:val="18"/>
              </w:rPr>
              <w:t xml:space="preserve">  •  ALE_After: ALE after control = ALE_Before × 0.70 (30% reduction model)</w:t>
            </w:r>
          </w:p>
          <w:p>
            <w:pPr>
              <w:spacing w:before="20" w:after="20"/>
              <w:ind w:left="454"/>
            </w:pPr>
            <w:r>
              <w:rPr>
                <w:rFonts w:ascii="Calibri" w:hAnsi="Calibri"/>
                <w:b w:val="0"/>
                <w:i w:val="0"/>
                <w:color w:val="78A7D0"/>
                <w:sz w:val="18"/>
              </w:rPr>
              <w:t xml:space="preserve">  •  Control_Cost: Annual cost of control = ALE × 0.10 (10% default)</w:t>
            </w:r>
          </w:p>
          <w:p>
            <w:pPr>
              <w:spacing w:before="20" w:after="20"/>
              <w:ind w:left="454"/>
            </w:pPr>
            <w:r>
              <w:rPr>
                <w:rFonts w:ascii="Calibri" w:hAnsi="Calibri"/>
                <w:b w:val="0"/>
                <w:i w:val="0"/>
                <w:color w:val="78A7D0"/>
                <w:sz w:val="18"/>
              </w:rPr>
              <w:t xml:space="preserve">  •  CBA &gt; 0 → Control is cost-effective and recommended</w:t>
            </w:r>
          </w:p>
          <w:p>
            <w:pPr>
              <w:spacing w:before="80" w:after="120"/>
              <w:jc w:val="center"/>
            </w:pPr>
            <w:r>
              <w:rPr>
                <w:rFonts w:ascii="Calibri" w:hAnsi="Calibri"/>
                <w:b/>
                <w:i w:val="0"/>
                <w:color w:val="48BB78"/>
                <w:sz w:val="18"/>
              </w:rPr>
              <w:t>Result Range:  CBA &gt; 0 = Recommended  |  CBA ≤ 0 = Not cost-effective</w:t>
            </w:r>
          </w:p>
        </w:tc>
      </w:tr>
    </w:tbl>
    <w:p/>
    <w:p>
      <w:r>
        <w:br w:type="page"/>
      </w:r>
    </w:p>
    <w:p>
      <w:pPr>
        <w:shd w:fill="1D4E89" w:val="clear"/>
        <w:spacing w:before="120" w:after="40"/>
        <w:jc w:val="left"/>
      </w:pPr>
      <w:r>
        <w:rPr>
          <w:rFonts w:ascii="Calibri" w:hAnsi="Calibri"/>
          <w:b/>
          <w:i w:val="0"/>
          <w:color w:val="D4AC0D"/>
          <w:sz w:val="26"/>
        </w:rPr>
        <w:t xml:space="preserve">  07  </w:t>
      </w:r>
      <w:r>
        <w:rPr>
          <w:rFonts w:ascii="Calibri" w:hAnsi="Calibri"/>
          <w:b w:val="0"/>
          <w:i w:val="0"/>
          <w:color w:val="7AA7D3"/>
          <w:sz w:val="26"/>
        </w:rPr>
        <w:t xml:space="preserve">│  </w:t>
      </w:r>
      <w:r>
        <w:rPr>
          <w:rFonts w:ascii="Calibri" w:hAnsi="Calibri"/>
          <w:b/>
          <w:i w:val="0"/>
          <w:color w:val="FFFFFF"/>
          <w:sz w:val="26"/>
        </w:rPr>
        <w:t>RISK CRITICALITY BANDS</w:t>
      </w:r>
    </w:p>
    <w:p>
      <w:pPr>
        <w:spacing w:before="40" w:after="40"/>
        <w:ind w:left="0"/>
        <w:jc w:val="both"/>
      </w:pPr>
      <w:r>
        <w:rPr>
          <w:rFonts w:ascii="Calibri" w:hAnsi="Calibri"/>
          <w:b w:val="0"/>
          <w:i w:val="0"/>
          <w:color w:val="2C3E50"/>
          <w:sz w:val="21"/>
        </w:rPr>
        <w:t>The AssessITS 1–250 Risk Impact Rating is partitioned into four criticality bands. These bands drive the colour-coding throughout the platform (risk register, charts, CVE cards) and determine the AI control recommendation priority.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1E8B4C" w:val="clear"/>
          </w:tcPr>
          <w:p>
            <w:pPr>
              <w:spacing w:before="20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LOW</w:t>
            </w:r>
          </w:p>
        </w:tc>
        <w:tc>
          <w:tcPr>
            <w:tcW w:type="dxa" w:w="2466"/>
            <w:shd w:fill="D4AC0D" w:val="clear"/>
          </w:tcPr>
          <w:p>
            <w:pPr>
              <w:spacing w:before="200" w:after="80"/>
              <w:jc w:val="center"/>
            </w:pPr>
            <w:r>
              <w:rPr>
                <w:rFonts w:ascii="Calibri" w:hAnsi="Calibri"/>
                <w:b/>
                <w:i w:val="0"/>
                <w:color w:val="2C3E50"/>
                <w:sz w:val="28"/>
              </w:rPr>
              <w:t>MEDIUM</w:t>
            </w:r>
          </w:p>
        </w:tc>
        <w:tc>
          <w:tcPr>
            <w:tcW w:type="dxa" w:w="2466"/>
            <w:shd w:fill="E67E22" w:val="clear"/>
          </w:tcPr>
          <w:p>
            <w:pPr>
              <w:spacing w:before="20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HIGH</w:t>
            </w:r>
          </w:p>
        </w:tc>
        <w:tc>
          <w:tcPr>
            <w:tcW w:type="dxa" w:w="2466"/>
            <w:shd w:fill="C0392B" w:val="clear"/>
          </w:tcPr>
          <w:p>
            <w:pPr>
              <w:spacing w:before="20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CRITICAL</w:t>
            </w:r>
          </w:p>
        </w:tc>
      </w:tr>
      <w:tr>
        <w:tc>
          <w:tcPr>
            <w:tcW w:type="dxa" w:w="2466"/>
            <w:shd w:fill="0F284A" w:val="clear"/>
          </w:tcPr>
          <w:p>
            <w:pPr>
              <w:spacing w:before="80" w:after="120"/>
              <w:jc w:val="center"/>
            </w:pPr>
            <w:r>
              <w:rPr>
                <w:rFonts w:ascii="Calibri" w:hAnsi="Calibri"/>
                <w:b w:val="0"/>
                <w:i w:val="0"/>
                <w:color w:val="A8C8EC"/>
                <w:sz w:val="18"/>
              </w:rPr>
              <w:t>Score: 1–45</w:t>
            </w:r>
          </w:p>
        </w:tc>
        <w:tc>
          <w:tcPr>
            <w:tcW w:type="dxa" w:w="2466"/>
            <w:shd w:fill="0F284A" w:val="clear"/>
          </w:tcPr>
          <w:p>
            <w:pPr>
              <w:spacing w:before="80" w:after="120"/>
              <w:jc w:val="center"/>
            </w:pPr>
            <w:r>
              <w:rPr>
                <w:rFonts w:ascii="Calibri" w:hAnsi="Calibri"/>
                <w:b w:val="0"/>
                <w:i w:val="0"/>
                <w:color w:val="A8C8EC"/>
                <w:sz w:val="18"/>
              </w:rPr>
              <w:t>Score: 46–99</w:t>
            </w:r>
          </w:p>
        </w:tc>
        <w:tc>
          <w:tcPr>
            <w:tcW w:type="dxa" w:w="2466"/>
            <w:shd w:fill="0F284A" w:val="clear"/>
          </w:tcPr>
          <w:p>
            <w:pPr>
              <w:spacing w:before="80" w:after="120"/>
              <w:jc w:val="center"/>
            </w:pPr>
            <w:r>
              <w:rPr>
                <w:rFonts w:ascii="Calibri" w:hAnsi="Calibri"/>
                <w:b w:val="0"/>
                <w:i w:val="0"/>
                <w:color w:val="A8C8EC"/>
                <w:sz w:val="18"/>
              </w:rPr>
              <w:t>Score: 100–199</w:t>
            </w:r>
          </w:p>
        </w:tc>
        <w:tc>
          <w:tcPr>
            <w:tcW w:type="dxa" w:w="2466"/>
            <w:shd w:fill="0F284A" w:val="clear"/>
          </w:tcPr>
          <w:p>
            <w:pPr>
              <w:spacing w:before="80" w:after="120"/>
              <w:jc w:val="center"/>
            </w:pPr>
            <w:r>
              <w:rPr>
                <w:rFonts w:ascii="Calibri" w:hAnsi="Calibri"/>
                <w:b w:val="0"/>
                <w:i w:val="0"/>
                <w:color w:val="A8C8EC"/>
                <w:sz w:val="18"/>
              </w:rPr>
              <w:t>Score: 200–250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134"/>
            <w:shd w:fill="0F284A" w:val="clear"/>
            <w:tcBorders>
              <w:bottom w:val="single" w:sz="8" w:color="2774C2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Band</w:t>
            </w:r>
          </w:p>
        </w:tc>
        <w:tc>
          <w:tcPr>
            <w:tcW w:type="dxa" w:w="1247"/>
            <w:shd w:fill="0F284A" w:val="clear"/>
            <w:tcBorders>
              <w:bottom w:val="single" w:sz="8" w:color="2774C2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RIR Range</w:t>
            </w:r>
          </w:p>
        </w:tc>
        <w:tc>
          <w:tcPr>
            <w:tcW w:type="dxa" w:w="3118"/>
            <w:shd w:fill="0F284A" w:val="clear"/>
            <w:tcBorders>
              <w:bottom w:val="single" w:sz="8" w:color="2774C2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Meaning</w:t>
            </w:r>
          </w:p>
        </w:tc>
        <w:tc>
          <w:tcPr>
            <w:tcW w:type="dxa" w:w="3118"/>
            <w:shd w:fill="0F284A" w:val="clear"/>
            <w:tcBorders>
              <w:bottom w:val="single" w:sz="8" w:color="2774C2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Platform Response</w:t>
            </w:r>
          </w:p>
        </w:tc>
        <w:tc>
          <w:tcPr>
            <w:tcW w:type="dxa" w:w="1417"/>
            <w:shd w:fill="0F284A" w:val="clear"/>
            <w:tcBorders>
              <w:bottom w:val="single" w:sz="8" w:color="2774C2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Badge Color</w:t>
            </w:r>
          </w:p>
        </w:tc>
      </w:tr>
      <w:tr>
        <w:tc>
          <w:tcPr>
            <w:tcW w:type="dxa" w:w="1134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LOW</w:t>
            </w:r>
          </w:p>
        </w:tc>
        <w:tc>
          <w:tcPr>
            <w:tcW w:type="dxa" w:w="1247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1 – 45</w:t>
            </w:r>
          </w:p>
        </w:tc>
        <w:tc>
          <w:tcPr>
            <w:tcW w:type="dxa" w:w="3118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Negligible financial and operational exposure</w:t>
            </w:r>
          </w:p>
        </w:tc>
        <w:tc>
          <w:tcPr>
            <w:tcW w:type="dxa" w:w="3118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Informational; annual review</w:t>
            </w:r>
          </w:p>
        </w:tc>
        <w:tc>
          <w:tcPr>
            <w:tcW w:type="dxa" w:w="1417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Green   #1E8B4C</w:t>
            </w:r>
          </w:p>
        </w:tc>
      </w:tr>
      <w:tr>
        <w:tc>
          <w:tcPr>
            <w:tcW w:type="dxa" w:w="1134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MEDIUM</w:t>
            </w:r>
          </w:p>
        </w:tc>
        <w:tc>
          <w:tcPr>
            <w:tcW w:type="dxa" w:w="1247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46 – 99</w:t>
            </w:r>
          </w:p>
        </w:tc>
        <w:tc>
          <w:tcPr>
            <w:tcW w:type="dxa" w:w="3118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Moderate risk; quarterly monitoring required</w:t>
            </w:r>
          </w:p>
        </w:tc>
        <w:tc>
          <w:tcPr>
            <w:tcW w:type="dxa" w:w="3118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Document &amp; schedule treatment</w:t>
            </w:r>
          </w:p>
        </w:tc>
        <w:tc>
          <w:tcPr>
            <w:tcW w:type="dxa" w:w="1417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Yellow  #D4AC0D</w:t>
            </w:r>
          </w:p>
        </w:tc>
      </w:tr>
      <w:tr>
        <w:tc>
          <w:tcPr>
            <w:tcW w:type="dxa" w:w="1134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HIGH</w:t>
            </w:r>
          </w:p>
        </w:tc>
        <w:tc>
          <w:tcPr>
            <w:tcW w:type="dxa" w:w="1247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100 – 199</w:t>
            </w:r>
          </w:p>
        </w:tc>
        <w:tc>
          <w:tcPr>
            <w:tcW w:type="dxa" w:w="3118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Significant exposure; priority remediation</w:t>
            </w:r>
          </w:p>
        </w:tc>
        <w:tc>
          <w:tcPr>
            <w:tcW w:type="dxa" w:w="3118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Immediate owner assignment &amp; due date</w:t>
            </w:r>
          </w:p>
        </w:tc>
        <w:tc>
          <w:tcPr>
            <w:tcW w:type="dxa" w:w="1417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Orange  #E67E22</w:t>
            </w:r>
          </w:p>
        </w:tc>
      </w:tr>
      <w:tr>
        <w:tc>
          <w:tcPr>
            <w:tcW w:type="dxa" w:w="1134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CRITICAL</w:t>
            </w:r>
          </w:p>
        </w:tc>
        <w:tc>
          <w:tcPr>
            <w:tcW w:type="dxa" w:w="1247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200 – 250</w:t>
            </w:r>
          </w:p>
        </w:tc>
        <w:tc>
          <w:tcPr>
            <w:tcW w:type="dxa" w:w="3118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Extreme financial and operational impact</w:t>
            </w:r>
          </w:p>
        </w:tc>
        <w:tc>
          <w:tcPr>
            <w:tcW w:type="dxa" w:w="3118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Urgent escalation; board notification level</w:t>
            </w:r>
          </w:p>
        </w:tc>
        <w:tc>
          <w:tcPr>
            <w:tcW w:type="dxa" w:w="1417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Red     #C0392B</w:t>
            </w:r>
          </w:p>
        </w:tc>
      </w:tr>
    </w:tbl>
    <w:p/>
    <w:p>
      <w:r>
        <w:br w:type="page"/>
      </w:r>
    </w:p>
    <w:p>
      <w:pPr>
        <w:shd w:fill="1D4E89" w:val="clear"/>
        <w:spacing w:before="120" w:after="40"/>
        <w:jc w:val="left"/>
      </w:pPr>
      <w:r>
        <w:rPr>
          <w:rFonts w:ascii="Calibri" w:hAnsi="Calibri"/>
          <w:b/>
          <w:i w:val="0"/>
          <w:color w:val="D4AC0D"/>
          <w:sz w:val="26"/>
        </w:rPr>
        <w:t xml:space="preserve">  08  </w:t>
      </w:r>
      <w:r>
        <w:rPr>
          <w:rFonts w:ascii="Calibri" w:hAnsi="Calibri"/>
          <w:b w:val="0"/>
          <w:i w:val="0"/>
          <w:color w:val="7AA7D3"/>
          <w:sz w:val="26"/>
        </w:rPr>
        <w:t xml:space="preserve">│  </w:t>
      </w:r>
      <w:r>
        <w:rPr>
          <w:rFonts w:ascii="Calibri" w:hAnsi="Calibri"/>
          <w:b/>
          <w:i w:val="0"/>
          <w:color w:val="FFFFFF"/>
          <w:sz w:val="26"/>
        </w:rPr>
        <w:t>PLATFORM FEATURES — ALL SIX PAGES</w:t>
      </w:r>
    </w:p>
    <w:p>
      <w:pPr>
        <w:spacing w:before="160" w:after="40"/>
        <w:pBdr>
          <w:bottom w:val="single" w:sz="4" w:space="4" w:color="2774C2"/>
        </w:pBdr>
      </w:pPr>
      <w:r>
        <w:rPr>
          <w:rFonts w:ascii="Calibri" w:hAnsi="Calibri"/>
          <w:b/>
          <w:i w:val="0"/>
          <w:color w:val="2774C2"/>
          <w:sz w:val="24"/>
        </w:rPr>
        <w:t>Pages 1–3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0F284A" w:val="clear"/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i w:val="0"/>
                <w:color w:val="D4AC0D"/>
                <w:sz w:val="28"/>
              </w:rPr>
              <w:t>📋</w:t>
              <w:br/>
              <w:t>PAGE 1</w:t>
            </w:r>
          </w:p>
        </w:tc>
        <w:tc>
          <w:tcPr>
            <w:tcW w:type="dxa" w:w="3289"/>
            <w:shd w:fill="0F284A" w:val="clear"/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i w:val="0"/>
                <w:color w:val="D4AC0D"/>
                <w:sz w:val="28"/>
              </w:rPr>
              <w:t>📊</w:t>
              <w:br/>
              <w:t>PAGE 2</w:t>
            </w:r>
          </w:p>
        </w:tc>
        <w:tc>
          <w:tcPr>
            <w:tcW w:type="dxa" w:w="3289"/>
            <w:shd w:fill="0F284A" w:val="clear"/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i w:val="0"/>
                <w:color w:val="D4AC0D"/>
                <w:sz w:val="28"/>
              </w:rPr>
              <w:t>🔍</w:t>
              <w:br/>
              <w:t>PAGE 3</w:t>
            </w:r>
          </w:p>
        </w:tc>
      </w:tr>
      <w:tr>
        <w:tc>
          <w:tcPr>
            <w:tcW w:type="dxa" w:w="3289"/>
            <w:shd w:fill="1D4E89" w:val="clea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Assessment</w:t>
            </w:r>
          </w:p>
        </w:tc>
        <w:tc>
          <w:tcPr>
            <w:tcW w:type="dxa" w:w="3289"/>
            <w:shd w:fill="1D4E89" w:val="clea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Results &amp; Reports</w:t>
            </w:r>
          </w:p>
        </w:tc>
        <w:tc>
          <w:tcPr>
            <w:tcW w:type="dxa" w:w="3289"/>
            <w:shd w:fill="1D4E89" w:val="clea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Threat Intelligence</w:t>
            </w:r>
          </w:p>
        </w:tc>
      </w:tr>
      <w:tr>
        <w:tc>
          <w:tcPr>
            <w:tcW w:type="dxa" w:w="3289"/>
            <w:shd w:fill="F4F8FF" w:val="clear"/>
          </w:tcPr>
          <w:p>
            <w:pPr>
              <w:spacing w:before="80" w:after="0"/>
            </w:pPr>
          </w:p>
          <w:p>
            <w:pPr>
              <w:spacing w:before="20" w:after="20"/>
              <w:ind w:left="57"/>
            </w:pPr>
            <w:r>
              <w:rPr>
                <w:rFonts w:ascii="Calibri" w:hAnsi="Calibri"/>
                <w:b w:val="0"/>
                <w:i w:val="0"/>
                <w:color w:val="2C3E50"/>
                <w:sz w:val="17"/>
              </w:rPr>
              <w:t xml:space="preserve">  • Asset inventory (name, type, USD)</w:t>
            </w:r>
          </w:p>
          <w:p>
            <w:pPr>
              <w:spacing w:before="20" w:after="20"/>
              <w:ind w:left="57"/>
            </w:pPr>
            <w:r>
              <w:rPr>
                <w:rFonts w:ascii="Calibri" w:hAnsi="Calibri"/>
                <w:b w:val="0"/>
                <w:i w:val="0"/>
                <w:color w:val="2C3E50"/>
                <w:sz w:val="17"/>
              </w:rPr>
              <w:t xml:space="preserve">  • Threat mapping per asset</w:t>
            </w:r>
          </w:p>
          <w:p>
            <w:pPr>
              <w:spacing w:before="20" w:after="20"/>
              <w:ind w:left="57"/>
            </w:pPr>
            <w:r>
              <w:rPr>
                <w:rFonts w:ascii="Calibri" w:hAnsi="Calibri"/>
                <w:b w:val="0"/>
                <w:i w:val="0"/>
                <w:color w:val="2C3E50"/>
                <w:sz w:val="17"/>
              </w:rPr>
              <w:t xml:space="preserve">  • 12-field threat form</w:t>
            </w:r>
          </w:p>
          <w:p>
            <w:pPr>
              <w:spacing w:before="20" w:after="20"/>
              <w:ind w:left="57"/>
            </w:pPr>
            <w:r>
              <w:rPr>
                <w:rFonts w:ascii="Calibri" w:hAnsi="Calibri"/>
                <w:b w:val="0"/>
                <w:i w:val="0"/>
                <w:color w:val="2C3E50"/>
                <w:sz w:val="17"/>
              </w:rPr>
              <w:t xml:space="preserve">  • Demo data loader (5 assets, 8 threats)</w:t>
            </w:r>
          </w:p>
          <w:p>
            <w:pPr>
              <w:spacing w:before="20" w:after="20"/>
              <w:ind w:left="57"/>
            </w:pPr>
            <w:r>
              <w:rPr>
                <w:rFonts w:ascii="Calibri" w:hAnsi="Calibri"/>
                <w:b w:val="0"/>
                <w:i w:val="0"/>
                <w:color w:val="2C3E50"/>
                <w:sz w:val="17"/>
              </w:rPr>
              <w:t xml:space="preserve">  • CSV bulk upload</w:t>
            </w:r>
          </w:p>
          <w:p>
            <w:pPr>
              <w:spacing w:before="20" w:after="20"/>
              <w:ind w:left="57"/>
            </w:pPr>
            <w:r>
              <w:rPr>
                <w:rFonts w:ascii="Calibri" w:hAnsi="Calibri"/>
                <w:b w:val="0"/>
                <w:i w:val="0"/>
                <w:color w:val="2C3E50"/>
                <w:sz w:val="17"/>
              </w:rPr>
              <w:t xml:space="preserve">  • Input validation</w:t>
            </w:r>
          </w:p>
          <w:p>
            <w:pPr>
              <w:spacing w:before="20" w:after="20"/>
              <w:ind w:left="57"/>
            </w:pPr>
            <w:r>
              <w:rPr>
                <w:rFonts w:ascii="Calibri" w:hAnsi="Calibri"/>
                <w:b w:val="0"/>
                <w:i w:val="0"/>
                <w:color w:val="2C3E50"/>
                <w:sz w:val="17"/>
              </w:rPr>
              <w:t xml:space="preserve">  • Run Assessment button</w:t>
            </w:r>
          </w:p>
        </w:tc>
        <w:tc>
          <w:tcPr>
            <w:tcW w:type="dxa" w:w="3289"/>
            <w:shd w:fill="F4F8FF" w:val="clear"/>
          </w:tcPr>
          <w:p>
            <w:pPr>
              <w:spacing w:before="80" w:after="0"/>
            </w:pPr>
          </w:p>
          <w:p>
            <w:pPr>
              <w:spacing w:before="20" w:after="20"/>
              <w:ind w:left="57"/>
            </w:pPr>
            <w:r>
              <w:rPr>
                <w:rFonts w:ascii="Calibri" w:hAnsi="Calibri"/>
                <w:b w:val="0"/>
                <w:i w:val="0"/>
                <w:color w:val="2C3E50"/>
                <w:sz w:val="17"/>
              </w:rPr>
              <w:t xml:space="preserve">  • 4 KPI stat cards</w:t>
            </w:r>
          </w:p>
          <w:p>
            <w:pPr>
              <w:spacing w:before="20" w:after="20"/>
              <w:ind w:left="57"/>
            </w:pPr>
            <w:r>
              <w:rPr>
                <w:rFonts w:ascii="Calibri" w:hAnsi="Calibri"/>
                <w:b w:val="0"/>
                <w:i w:val="0"/>
                <w:color w:val="2C3E50"/>
                <w:sz w:val="17"/>
              </w:rPr>
              <w:t xml:space="preserve">  • Criticality pie chart</w:t>
            </w:r>
          </w:p>
          <w:p>
            <w:pPr>
              <w:spacing w:before="20" w:after="20"/>
              <w:ind w:left="57"/>
            </w:pPr>
            <w:r>
              <w:rPr>
                <w:rFonts w:ascii="Calibri" w:hAnsi="Calibri"/>
                <w:b w:val="0"/>
                <w:i w:val="0"/>
                <w:color w:val="2C3E50"/>
                <w:sz w:val="17"/>
              </w:rPr>
              <w:t xml:space="preserve">  • Top-10 risk bar chart</w:t>
            </w:r>
          </w:p>
          <w:p>
            <w:pPr>
              <w:spacing w:before="20" w:after="20"/>
              <w:ind w:left="57"/>
            </w:pPr>
            <w:r>
              <w:rPr>
                <w:rFonts w:ascii="Calibri" w:hAnsi="Calibri"/>
                <w:b w:val="0"/>
                <w:i w:val="0"/>
                <w:color w:val="2C3E50"/>
                <w:sz w:val="17"/>
              </w:rPr>
              <w:t xml:space="preserve">  • Likelihood × Impact heatmap</w:t>
            </w:r>
          </w:p>
          <w:p>
            <w:pPr>
              <w:spacing w:before="20" w:after="20"/>
              <w:ind w:left="57"/>
            </w:pPr>
            <w:r>
              <w:rPr>
                <w:rFonts w:ascii="Calibri" w:hAnsi="Calibri"/>
                <w:b w:val="0"/>
                <w:i w:val="0"/>
                <w:color w:val="2C3E50"/>
                <w:sz w:val="17"/>
              </w:rPr>
              <w:t xml:space="preserve">  • ALE by asset bar chart</w:t>
            </w:r>
          </w:p>
          <w:p>
            <w:pPr>
              <w:spacing w:before="20" w:after="20"/>
              <w:ind w:left="57"/>
            </w:pPr>
            <w:r>
              <w:rPr>
                <w:rFonts w:ascii="Calibri" w:hAnsi="Calibri"/>
                <w:b w:val="0"/>
                <w:i w:val="0"/>
                <w:color w:val="2C3E50"/>
                <w:sz w:val="17"/>
              </w:rPr>
              <w:t xml:space="preserve">  • Sortable/filterable risk register</w:t>
            </w:r>
          </w:p>
          <w:p>
            <w:pPr>
              <w:spacing w:before="20" w:after="20"/>
              <w:ind w:left="57"/>
            </w:pPr>
            <w:r>
              <w:rPr>
                <w:rFonts w:ascii="Calibri" w:hAnsi="Calibri"/>
                <w:b w:val="0"/>
                <w:i w:val="0"/>
                <w:color w:val="2C3E50"/>
                <w:sz w:val="17"/>
              </w:rPr>
              <w:t xml:space="preserve">  • NIST compliance checklist</w:t>
            </w:r>
          </w:p>
          <w:p>
            <w:pPr>
              <w:spacing w:before="20" w:after="20"/>
              <w:ind w:left="57"/>
            </w:pPr>
            <w:r>
              <w:rPr>
                <w:rFonts w:ascii="Calibri" w:hAnsi="Calibri"/>
                <w:b w:val="0"/>
                <w:i w:val="0"/>
                <w:color w:val="2C3E50"/>
                <w:sz w:val="17"/>
              </w:rPr>
              <w:t xml:space="preserve">  • AI control recommendations</w:t>
            </w:r>
          </w:p>
          <w:p>
            <w:pPr>
              <w:spacing w:before="20" w:after="20"/>
              <w:ind w:left="57"/>
            </w:pPr>
            <w:r>
              <w:rPr>
                <w:rFonts w:ascii="Calibri" w:hAnsi="Calibri"/>
                <w:b w:val="0"/>
                <w:i w:val="0"/>
                <w:color w:val="2C3E50"/>
                <w:sz w:val="17"/>
              </w:rPr>
              <w:t xml:space="preserve">  • 3 PDF downloads</w:t>
            </w:r>
          </w:p>
        </w:tc>
        <w:tc>
          <w:tcPr>
            <w:tcW w:type="dxa" w:w="3289"/>
            <w:shd w:fill="F4F8FF" w:val="clear"/>
          </w:tcPr>
          <w:p>
            <w:pPr>
              <w:spacing w:before="80" w:after="0"/>
            </w:pPr>
          </w:p>
          <w:p>
            <w:pPr>
              <w:spacing w:before="20" w:after="20"/>
              <w:ind w:left="57"/>
            </w:pPr>
            <w:r>
              <w:rPr>
                <w:rFonts w:ascii="Calibri" w:hAnsi="Calibri"/>
                <w:b w:val="0"/>
                <w:i w:val="0"/>
                <w:color w:val="2C3E50"/>
                <w:sz w:val="17"/>
              </w:rPr>
              <w:t xml:space="preserve">  • Per-asset NVD CVE lookup</w:t>
            </w:r>
          </w:p>
          <w:p>
            <w:pPr>
              <w:spacing w:before="20" w:after="20"/>
              <w:ind w:left="57"/>
            </w:pPr>
            <w:r>
              <w:rPr>
                <w:rFonts w:ascii="Calibri" w:hAnsi="Calibri"/>
                <w:b w:val="0"/>
                <w:i w:val="0"/>
                <w:color w:val="2C3E50"/>
                <w:sz w:val="17"/>
              </w:rPr>
              <w:t xml:space="preserve">  • CVE severity bar chart</w:t>
            </w:r>
          </w:p>
          <w:p>
            <w:pPr>
              <w:spacing w:before="20" w:after="20"/>
              <w:ind w:left="57"/>
            </w:pPr>
            <w:r>
              <w:rPr>
                <w:rFonts w:ascii="Calibri" w:hAnsi="Calibri"/>
                <w:b w:val="0"/>
                <w:i w:val="0"/>
                <w:color w:val="2C3E50"/>
                <w:sz w:val="17"/>
              </w:rPr>
              <w:t xml:space="preserve">  • Color-coded CVE detail cards</w:t>
            </w:r>
          </w:p>
          <w:p>
            <w:pPr>
              <w:spacing w:before="20" w:after="20"/>
              <w:ind w:left="57"/>
            </w:pPr>
            <w:r>
              <w:rPr>
                <w:rFonts w:ascii="Calibri" w:hAnsi="Calibri"/>
                <w:b w:val="0"/>
                <w:i w:val="0"/>
                <w:color w:val="2C3E50"/>
                <w:sz w:val="17"/>
              </w:rPr>
              <w:t xml:space="preserve">  • CVSS score display</w:t>
            </w:r>
          </w:p>
          <w:p>
            <w:pPr>
              <w:spacing w:before="20" w:after="20"/>
              <w:ind w:left="57"/>
            </w:pPr>
            <w:r>
              <w:rPr>
                <w:rFonts w:ascii="Calibri" w:hAnsi="Calibri"/>
                <w:b w:val="0"/>
                <w:i w:val="0"/>
                <w:color w:val="2C3E50"/>
                <w:sz w:val="17"/>
              </w:rPr>
              <w:t xml:space="preserve">  • NVD keyword search</w:t>
            </w:r>
          </w:p>
          <w:p>
            <w:pPr>
              <w:spacing w:before="20" w:after="20"/>
              <w:ind w:left="57"/>
            </w:pPr>
            <w:r>
              <w:rPr>
                <w:rFonts w:ascii="Calibri" w:hAnsi="Calibri"/>
                <w:b w:val="0"/>
                <w:i w:val="0"/>
                <w:color w:val="2C3E50"/>
                <w:sz w:val="17"/>
              </w:rPr>
              <w:t xml:space="preserve">  • Critical CVE notifications</w:t>
            </w:r>
          </w:p>
          <w:p>
            <w:pPr>
              <w:spacing w:before="20" w:after="20"/>
              <w:ind w:left="57"/>
            </w:pPr>
            <w:r>
              <w:rPr>
                <w:rFonts w:ascii="Calibri" w:hAnsi="Calibri"/>
                <w:b w:val="0"/>
                <w:i w:val="0"/>
                <w:color w:val="2C3E50"/>
                <w:sz w:val="17"/>
              </w:rPr>
              <w:t xml:space="preserve">  • Mock fallback (offline support)</w:t>
            </w:r>
          </w:p>
        </w:tc>
      </w:tr>
    </w:tbl>
    <w:p/>
    <w:p>
      <w:pPr>
        <w:spacing w:before="160" w:after="40"/>
        <w:pBdr>
          <w:bottom w:val="single" w:sz="4" w:space="4" w:color="2774C2"/>
        </w:pBdr>
      </w:pPr>
      <w:r>
        <w:rPr>
          <w:rFonts w:ascii="Calibri" w:hAnsi="Calibri"/>
          <w:b/>
          <w:i w:val="0"/>
          <w:color w:val="2774C2"/>
          <w:sz w:val="24"/>
        </w:rPr>
        <w:t>Pages 4–6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0F284A" w:val="clear"/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i w:val="0"/>
                <w:color w:val="D4AC0D"/>
                <w:sz w:val="28"/>
              </w:rPr>
              <w:t>🛠️</w:t>
              <w:br/>
              <w:t>PAGE 4</w:t>
            </w:r>
          </w:p>
        </w:tc>
        <w:tc>
          <w:tcPr>
            <w:tcW w:type="dxa" w:w="3289"/>
            <w:shd w:fill="0F284A" w:val="clear"/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i w:val="0"/>
                <w:color w:val="D4AC0D"/>
                <w:sz w:val="28"/>
              </w:rPr>
              <w:t>📈</w:t>
              <w:br/>
              <w:t>PAGE 5</w:t>
            </w:r>
          </w:p>
        </w:tc>
        <w:tc>
          <w:tcPr>
            <w:tcW w:type="dxa" w:w="3289"/>
            <w:shd w:fill="0F284A" w:val="clear"/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i w:val="0"/>
                <w:color w:val="D4AC0D"/>
                <w:sz w:val="28"/>
              </w:rPr>
              <w:t>📖</w:t>
              <w:br/>
              <w:t>PAGE 6</w:t>
            </w:r>
          </w:p>
        </w:tc>
      </w:tr>
      <w:tr>
        <w:tc>
          <w:tcPr>
            <w:tcW w:type="dxa" w:w="3289"/>
            <w:shd w:fill="1D4E89" w:val="clea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Treatment Plan</w:t>
            </w:r>
          </w:p>
        </w:tc>
        <w:tc>
          <w:tcPr>
            <w:tcW w:type="dxa" w:w="3289"/>
            <w:shd w:fill="1D4E89" w:val="clea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Assessment History</w:t>
            </w:r>
          </w:p>
        </w:tc>
        <w:tc>
          <w:tcPr>
            <w:tcW w:type="dxa" w:w="3289"/>
            <w:shd w:fill="1D4E89" w:val="clea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Methodology</w:t>
            </w:r>
          </w:p>
        </w:tc>
      </w:tr>
      <w:tr>
        <w:tc>
          <w:tcPr>
            <w:tcW w:type="dxa" w:w="3289"/>
            <w:shd w:fill="F4F8FF" w:val="clear"/>
          </w:tcPr>
          <w:p>
            <w:pPr>
              <w:spacing w:before="80" w:after="0"/>
            </w:pPr>
          </w:p>
          <w:p>
            <w:pPr>
              <w:spacing w:before="20" w:after="20"/>
              <w:ind w:left="57"/>
            </w:pPr>
            <w:r>
              <w:rPr>
                <w:rFonts w:ascii="Calibri" w:hAnsi="Calibri"/>
                <w:b w:val="0"/>
                <w:i w:val="0"/>
                <w:color w:val="2C3E50"/>
                <w:sz w:val="17"/>
              </w:rPr>
              <w:t xml:space="preserve">  • Inline data_editor (spreadsheet UI)</w:t>
            </w:r>
          </w:p>
          <w:p>
            <w:pPr>
              <w:spacing w:before="20" w:after="20"/>
              <w:ind w:left="57"/>
            </w:pPr>
            <w:r>
              <w:rPr>
                <w:rFonts w:ascii="Calibri" w:hAnsi="Calibri"/>
                <w:b w:val="0"/>
                <w:i w:val="0"/>
                <w:color w:val="2C3E50"/>
                <w:sz w:val="17"/>
              </w:rPr>
              <w:t xml:space="preserve">  • Strategy: Mitigate/Accept/Transfer/Avoid</w:t>
            </w:r>
          </w:p>
          <w:p>
            <w:pPr>
              <w:spacing w:before="20" w:after="20"/>
              <w:ind w:left="57"/>
            </w:pPr>
            <w:r>
              <w:rPr>
                <w:rFonts w:ascii="Calibri" w:hAnsi="Calibri"/>
                <w:b w:val="0"/>
                <w:i w:val="0"/>
                <w:color w:val="2C3E50"/>
                <w:sz w:val="17"/>
              </w:rPr>
              <w:t xml:space="preserve">  • Owner &amp; due-date assignment</w:t>
            </w:r>
          </w:p>
          <w:p>
            <w:pPr>
              <w:spacing w:before="20" w:after="20"/>
              <w:ind w:left="57"/>
            </w:pPr>
            <w:r>
              <w:rPr>
                <w:rFonts w:ascii="Calibri" w:hAnsi="Calibri"/>
                <w:b w:val="0"/>
                <w:i w:val="0"/>
                <w:color w:val="2C3E50"/>
                <w:sz w:val="17"/>
              </w:rPr>
              <w:t xml:space="preserve">  • Status: Pending/In Progress/Completed</w:t>
            </w:r>
          </w:p>
          <w:p>
            <w:pPr>
              <w:spacing w:before="20" w:after="20"/>
              <w:ind w:left="57"/>
            </w:pPr>
            <w:r>
              <w:rPr>
                <w:rFonts w:ascii="Calibri" w:hAnsi="Calibri"/>
                <w:b w:val="0"/>
                <w:i w:val="0"/>
                <w:color w:val="2C3E50"/>
                <w:sz w:val="17"/>
              </w:rPr>
              <w:t xml:space="preserve">  • Treatment status donut chart</w:t>
            </w:r>
          </w:p>
          <w:p>
            <w:pPr>
              <w:spacing w:before="20" w:after="20"/>
              <w:ind w:left="57"/>
            </w:pPr>
            <w:r>
              <w:rPr>
                <w:rFonts w:ascii="Calibri" w:hAnsi="Calibri"/>
                <w:b w:val="0"/>
                <w:i w:val="0"/>
                <w:color w:val="2C3E50"/>
                <w:sz w:val="17"/>
              </w:rPr>
              <w:t xml:space="preserve">  • Strategy breakdown bars</w:t>
            </w:r>
          </w:p>
          <w:p>
            <w:pPr>
              <w:spacing w:before="20" w:after="20"/>
              <w:ind w:left="57"/>
            </w:pPr>
            <w:r>
              <w:rPr>
                <w:rFonts w:ascii="Calibri" w:hAnsi="Calibri"/>
                <w:b w:val="0"/>
                <w:i w:val="0"/>
                <w:color w:val="2C3E50"/>
                <w:sz w:val="17"/>
              </w:rPr>
              <w:t xml:space="preserve">  • CSV export</w:t>
            </w:r>
          </w:p>
          <w:p>
            <w:pPr>
              <w:spacing w:before="20" w:after="20"/>
              <w:ind w:left="57"/>
            </w:pPr>
            <w:r>
              <w:rPr>
                <w:rFonts w:ascii="Calibri" w:hAnsi="Calibri"/>
                <w:b w:val="0"/>
                <w:i w:val="0"/>
                <w:color w:val="2C3E50"/>
                <w:sz w:val="17"/>
              </w:rPr>
              <w:t xml:space="preserve">  • SQLite persistence (upsert)</w:t>
            </w:r>
          </w:p>
        </w:tc>
        <w:tc>
          <w:tcPr>
            <w:tcW w:type="dxa" w:w="3289"/>
            <w:shd w:fill="F4F8FF" w:val="clear"/>
          </w:tcPr>
          <w:p>
            <w:pPr>
              <w:spacing w:before="80" w:after="0"/>
            </w:pPr>
          </w:p>
          <w:p>
            <w:pPr>
              <w:spacing w:before="20" w:after="20"/>
              <w:ind w:left="57"/>
            </w:pPr>
            <w:r>
              <w:rPr>
                <w:rFonts w:ascii="Calibri" w:hAnsi="Calibri"/>
                <w:b w:val="0"/>
                <w:i w:val="0"/>
                <w:color w:val="2C3E50"/>
                <w:sz w:val="17"/>
              </w:rPr>
              <w:t xml:space="preserve">  • Total run count KPI</w:t>
            </w:r>
          </w:p>
          <w:p>
            <w:pPr>
              <w:spacing w:before="20" w:after="20"/>
              <w:ind w:left="57"/>
            </w:pPr>
            <w:r>
              <w:rPr>
                <w:rFonts w:ascii="Calibri" w:hAnsi="Calibri"/>
                <w:b w:val="0"/>
                <w:i w:val="0"/>
                <w:color w:val="2C3E50"/>
                <w:sz w:val="17"/>
              </w:rPr>
              <w:t xml:space="preserve">  • Latest ALE KPI</w:t>
            </w:r>
          </w:p>
          <w:p>
            <w:pPr>
              <w:spacing w:before="20" w:after="20"/>
              <w:ind w:left="57"/>
            </w:pPr>
            <w:r>
              <w:rPr>
                <w:rFonts w:ascii="Calibri" w:hAnsi="Calibri"/>
                <w:b w:val="0"/>
                <w:i w:val="0"/>
                <w:color w:val="2C3E50"/>
                <w:sz w:val="17"/>
              </w:rPr>
              <w:t xml:space="preserve">  • Delta vs previous run</w:t>
            </w:r>
          </w:p>
          <w:p>
            <w:pPr>
              <w:spacing w:before="20" w:after="20"/>
              <w:ind w:left="57"/>
            </w:pPr>
            <w:r>
              <w:rPr>
                <w:rFonts w:ascii="Calibri" w:hAnsi="Calibri"/>
                <w:b w:val="0"/>
                <w:i w:val="0"/>
                <w:color w:val="2C3E50"/>
                <w:sz w:val="17"/>
              </w:rPr>
              <w:t xml:space="preserve">  • ALE trend line + area chart</w:t>
            </w:r>
          </w:p>
          <w:p>
            <w:pPr>
              <w:spacing w:before="20" w:after="20"/>
              <w:ind w:left="57"/>
            </w:pPr>
            <w:r>
              <w:rPr>
                <w:rFonts w:ascii="Calibri" w:hAnsi="Calibri"/>
                <w:b w:val="0"/>
                <w:i w:val="0"/>
                <w:color w:val="2C3E50"/>
                <w:sz w:val="17"/>
              </w:rPr>
              <w:t xml:space="preserve">  • Per-run expandable sections</w:t>
            </w:r>
          </w:p>
          <w:p>
            <w:pPr>
              <w:spacing w:before="20" w:after="20"/>
              <w:ind w:left="57"/>
            </w:pPr>
            <w:r>
              <w:rPr>
                <w:rFonts w:ascii="Calibri" w:hAnsi="Calibri"/>
                <w:b w:val="0"/>
                <w:i w:val="0"/>
                <w:color w:val="2C3E50"/>
                <w:sz w:val="17"/>
              </w:rPr>
              <w:t xml:space="preserve">  • Full risk register per run</w:t>
            </w:r>
          </w:p>
          <w:p>
            <w:pPr>
              <w:spacing w:before="20" w:after="20"/>
              <w:ind w:left="57"/>
            </w:pPr>
            <w:r>
              <w:rPr>
                <w:rFonts w:ascii="Calibri" w:hAnsi="Calibri"/>
                <w:b w:val="0"/>
                <w:i w:val="0"/>
                <w:color w:val="2C3E50"/>
                <w:sz w:val="17"/>
              </w:rPr>
              <w:t xml:space="preserve">  • AI rec summary per run</w:t>
            </w:r>
          </w:p>
        </w:tc>
        <w:tc>
          <w:tcPr>
            <w:tcW w:type="dxa" w:w="3289"/>
            <w:shd w:fill="F4F8FF" w:val="clear"/>
          </w:tcPr>
          <w:p>
            <w:pPr>
              <w:spacing w:before="80" w:after="0"/>
            </w:pPr>
          </w:p>
          <w:p>
            <w:pPr>
              <w:spacing w:before="20" w:after="20"/>
              <w:ind w:left="57"/>
            </w:pPr>
            <w:r>
              <w:rPr>
                <w:rFonts w:ascii="Calibri" w:hAnsi="Calibri"/>
                <w:b w:val="0"/>
                <w:i w:val="0"/>
                <w:color w:val="2C3E50"/>
                <w:sz w:val="17"/>
              </w:rPr>
              <w:t xml:space="preserve">  • Platform overview narrative</w:t>
            </w:r>
          </w:p>
          <w:p>
            <w:pPr>
              <w:spacing w:before="20" w:after="20"/>
              <w:ind w:left="57"/>
            </w:pPr>
            <w:r>
              <w:rPr>
                <w:rFonts w:ascii="Calibri" w:hAnsi="Calibri"/>
                <w:b w:val="0"/>
                <w:i w:val="0"/>
                <w:color w:val="2C3E50"/>
                <w:sz w:val="17"/>
              </w:rPr>
              <w:t xml:space="preserve">  • Framework alignment (3 cards)</w:t>
            </w:r>
          </w:p>
          <w:p>
            <w:pPr>
              <w:spacing w:before="20" w:after="20"/>
              <w:ind w:left="57"/>
            </w:pPr>
            <w:r>
              <w:rPr>
                <w:rFonts w:ascii="Calibri" w:hAnsi="Calibri"/>
                <w:b w:val="0"/>
                <w:i w:val="0"/>
                <w:color w:val="2C3E50"/>
                <w:sz w:val="17"/>
              </w:rPr>
              <w:t xml:space="preserve">  • LaTeX-rendered formulas</w:t>
            </w:r>
          </w:p>
          <w:p>
            <w:pPr>
              <w:spacing w:before="20" w:after="20"/>
              <w:ind w:left="57"/>
            </w:pPr>
            <w:r>
              <w:rPr>
                <w:rFonts w:ascii="Calibri" w:hAnsi="Calibri"/>
                <w:b w:val="0"/>
                <w:i w:val="0"/>
                <w:color w:val="2C3E50"/>
                <w:sz w:val="17"/>
              </w:rPr>
              <w:t xml:space="preserve">  • Criticality band reference</w:t>
            </w:r>
          </w:p>
          <w:p>
            <w:pPr>
              <w:spacing w:before="20" w:after="20"/>
              <w:ind w:left="57"/>
            </w:pPr>
            <w:r>
              <w:rPr>
                <w:rFonts w:ascii="Calibri" w:hAnsi="Calibri"/>
                <w:b w:val="0"/>
                <w:i w:val="0"/>
                <w:color w:val="2C3E50"/>
                <w:sz w:val="17"/>
              </w:rPr>
              <w:t xml:space="preserve">  • NIST control library (20 controls)</w:t>
            </w:r>
          </w:p>
          <w:p>
            <w:pPr>
              <w:spacing w:before="20" w:after="20"/>
              <w:ind w:left="57"/>
            </w:pPr>
            <w:r>
              <w:rPr>
                <w:rFonts w:ascii="Calibri" w:hAnsi="Calibri"/>
                <w:b w:val="0"/>
                <w:i w:val="0"/>
                <w:color w:val="2C3E50"/>
                <w:sz w:val="17"/>
              </w:rPr>
              <w:t xml:space="preserve">  • Architecture flowchart</w:t>
            </w:r>
          </w:p>
          <w:p>
            <w:pPr>
              <w:spacing w:before="20" w:after="20"/>
              <w:ind w:left="57"/>
            </w:pPr>
            <w:r>
              <w:rPr>
                <w:rFonts w:ascii="Calibri" w:hAnsi="Calibri"/>
                <w:b w:val="0"/>
                <w:i w:val="0"/>
                <w:color w:val="2C3E50"/>
                <w:sz w:val="17"/>
              </w:rPr>
              <w:t xml:space="preserve">  • Academic bibliography</w:t>
            </w:r>
          </w:p>
        </w:tc>
      </w:tr>
    </w:tbl>
    <w:p/>
    <w:p>
      <w:pPr>
        <w:spacing w:before="160" w:after="40"/>
        <w:pBdr>
          <w:bottom w:val="single" w:sz="4" w:space="4" w:color="2774C2"/>
        </w:pBdr>
      </w:pPr>
      <w:r>
        <w:rPr>
          <w:rFonts w:ascii="Calibri" w:hAnsi="Calibri"/>
          <w:b/>
          <w:i w:val="0"/>
          <w:color w:val="2774C2"/>
          <w:sz w:val="24"/>
        </w:rPr>
        <w:t>App Entry Point — Executive Dashboard</w:t>
      </w:r>
    </w:p>
    <w:p>
      <w:pPr>
        <w:spacing w:before="40" w:after="40"/>
        <w:ind w:left="0"/>
        <w:jc w:val="both"/>
      </w:pPr>
      <w:r>
        <w:rPr>
          <w:rFonts w:ascii="Calibri" w:hAnsi="Calibri"/>
          <w:b w:val="0"/>
          <w:i w:val="0"/>
          <w:color w:val="2C3E50"/>
          <w:sz w:val="21"/>
        </w:rPr>
        <w:t>When an assessment exists, app.py renders an Executive Dashboard with 4 KPI cards (Total Assets, Total Threats, Total ALE, Highest Risk), two summary charts, CVE alert banners, and a navigation grid of all 6 pages. When no assessment exists, it renders an animated hero landing page with a quickstart guide and the full navigation grid.</w:t>
      </w:r>
    </w:p>
    <w:p>
      <w:r>
        <w:br w:type="page"/>
      </w:r>
    </w:p>
    <w:p>
      <w:pPr>
        <w:shd w:fill="1D4E89" w:val="clear"/>
        <w:spacing w:before="120" w:after="40"/>
        <w:jc w:val="left"/>
      </w:pPr>
      <w:r>
        <w:rPr>
          <w:rFonts w:ascii="Calibri" w:hAnsi="Calibri"/>
          <w:b/>
          <w:i w:val="0"/>
          <w:color w:val="D4AC0D"/>
          <w:sz w:val="26"/>
        </w:rPr>
        <w:t xml:space="preserve">  09  </w:t>
      </w:r>
      <w:r>
        <w:rPr>
          <w:rFonts w:ascii="Calibri" w:hAnsi="Calibri"/>
          <w:b w:val="0"/>
          <w:i w:val="0"/>
          <w:color w:val="7AA7D3"/>
          <w:sz w:val="26"/>
        </w:rPr>
        <w:t xml:space="preserve">│  </w:t>
      </w:r>
      <w:r>
        <w:rPr>
          <w:rFonts w:ascii="Calibri" w:hAnsi="Calibri"/>
          <w:b/>
          <w:i w:val="0"/>
          <w:color w:val="FFFFFF"/>
          <w:sz w:val="26"/>
        </w:rPr>
        <w:t>DATABASE DESIGN</w:t>
      </w:r>
    </w:p>
    <w:p>
      <w:pPr>
        <w:spacing w:before="40" w:after="40"/>
        <w:ind w:left="0"/>
        <w:jc w:val="both"/>
      </w:pPr>
      <w:r>
        <w:rPr>
          <w:rFonts w:ascii="Calibri" w:hAnsi="Calibri"/>
          <w:b w:val="0"/>
          <w:i w:val="0"/>
          <w:color w:val="2C3E50"/>
          <w:sz w:val="21"/>
        </w:rPr>
        <w:t>The platform uses SQLite with Write-Ahead Logging (WAL) for concurrent reads and foreign key constraints for referential integrity. Session isolation is achieved by partitioning all queries on a UUID session_id generated per browser session.</w:t>
      </w:r>
    </w:p>
    <w:p>
      <w:pPr>
        <w:spacing w:before="160" w:after="40"/>
        <w:pBdr>
          <w:bottom w:val="single" w:sz="4" w:space="4" w:color="2774C2"/>
        </w:pBdr>
      </w:pPr>
      <w:r>
        <w:rPr>
          <w:rFonts w:ascii="Calibri" w:hAnsi="Calibri"/>
          <w:b/>
          <w:i w:val="0"/>
          <w:color w:val="2774C2"/>
          <w:sz w:val="24"/>
        </w:rPr>
        <w:t>Schema Overview — 7 Tables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01"/>
            <w:shd w:fill="0F284A" w:val="clear"/>
            <w:tcBorders>
              <w:bottom w:val="single" w:sz="8" w:color="2774C2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Table</w:t>
            </w:r>
          </w:p>
        </w:tc>
        <w:tc>
          <w:tcPr>
            <w:tcW w:type="dxa" w:w="3685"/>
            <w:shd w:fill="0F284A" w:val="clear"/>
            <w:tcBorders>
              <w:bottom w:val="single" w:sz="8" w:color="2774C2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Key Columns</w:t>
            </w:r>
          </w:p>
        </w:tc>
        <w:tc>
          <w:tcPr>
            <w:tcW w:type="dxa" w:w="2551"/>
            <w:shd w:fill="0F284A" w:val="clear"/>
            <w:tcBorders>
              <w:bottom w:val="single" w:sz="8" w:color="2774C2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Constraint</w:t>
            </w:r>
          </w:p>
        </w:tc>
        <w:tc>
          <w:tcPr>
            <w:tcW w:type="dxa" w:w="2551"/>
            <w:shd w:fill="0F284A" w:val="clear"/>
            <w:tcBorders>
              <w:bottom w:val="single" w:sz="8" w:color="2774C2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701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assets</w:t>
            </w:r>
          </w:p>
        </w:tc>
        <w:tc>
          <w:tcPr>
            <w:tcW w:type="dxa" w:w="3685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id, session_id, name, asset_type, value_usd, software</w:t>
            </w:r>
          </w:p>
        </w:tc>
        <w:tc>
          <w:tcPr>
            <w:tcW w:type="dxa" w:w="2551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PK(id)</w:t>
            </w:r>
          </w:p>
        </w:tc>
        <w:tc>
          <w:tcPr>
            <w:tcW w:type="dxa" w:w="2551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Asset inventory — monetary values</w:t>
            </w:r>
          </w:p>
        </w:tc>
      </w:tr>
      <w:tr>
        <w:tc>
          <w:tcPr>
            <w:tcW w:type="dxa" w:w="1701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threats</w:t>
            </w:r>
          </w:p>
        </w:tc>
        <w:tc>
          <w:tcPr>
            <w:tcW w:type="dxa" w:w="3685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id, asset_id, name, category, probability, vulnerability_score, aro, exposure_factor</w:t>
            </w:r>
          </w:p>
        </w:tc>
        <w:tc>
          <w:tcPr>
            <w:tcW w:type="dxa" w:w="2551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FK → assets(id) CASCADE</w:t>
            </w:r>
          </w:p>
        </w:tc>
        <w:tc>
          <w:tcPr>
            <w:tcW w:type="dxa" w:w="2551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Threat catalog per asset</w:t>
            </w:r>
          </w:p>
        </w:tc>
      </w:tr>
      <w:tr>
        <w:tc>
          <w:tcPr>
            <w:tcW w:type="dxa" w:w="1701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assessments</w:t>
            </w:r>
          </w:p>
        </w:tc>
        <w:tc>
          <w:tcPr>
            <w:tcW w:type="dxa" w:w="3685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id, session_id, results_json, created_at</w:t>
            </w:r>
          </w:p>
        </w:tc>
        <w:tc>
          <w:tcPr>
            <w:tcW w:type="dxa" w:w="2551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Index(session_id)</w:t>
            </w:r>
          </w:p>
        </w:tc>
        <w:tc>
          <w:tcPr>
            <w:tcW w:type="dxa" w:w="2551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Serialised risk register (JSON blob)</w:t>
            </w:r>
          </w:p>
        </w:tc>
      </w:tr>
      <w:tr>
        <w:tc>
          <w:tcPr>
            <w:tcW w:type="dxa" w:w="1701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compliance_status</w:t>
            </w:r>
          </w:p>
        </w:tc>
        <w:tc>
          <w:tcPr>
            <w:tcW w:type="dxa" w:w="3685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id, session_id, control_id, control_name, status</w:t>
            </w:r>
          </w:p>
        </w:tc>
        <w:tc>
          <w:tcPr>
            <w:tcW w:type="dxa" w:w="2551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UNIQUE(session_id, control_id)</w:t>
            </w:r>
          </w:p>
        </w:tc>
        <w:tc>
          <w:tcPr>
            <w:tcW w:type="dxa" w:w="2551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NIST control implementation tracking</w:t>
            </w:r>
          </w:p>
        </w:tc>
      </w:tr>
      <w:tr>
        <w:tc>
          <w:tcPr>
            <w:tcW w:type="dxa" w:w="1701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notifications</w:t>
            </w:r>
          </w:p>
        </w:tc>
        <w:tc>
          <w:tcPr>
            <w:tcW w:type="dxa" w:w="3685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id, session_id, message, severity, read_flag</w:t>
            </w:r>
          </w:p>
        </w:tc>
        <w:tc>
          <w:tcPr>
            <w:tcW w:type="dxa" w:w="2551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Index(session_id)</w:t>
            </w:r>
          </w:p>
        </w:tc>
        <w:tc>
          <w:tcPr>
            <w:tcW w:type="dxa" w:w="2551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CVE alerts and system messages</w:t>
            </w:r>
          </w:p>
        </w:tc>
      </w:tr>
      <w:tr>
        <w:tc>
          <w:tcPr>
            <w:tcW w:type="dxa" w:w="1701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treatment_plans</w:t>
            </w:r>
          </w:p>
        </w:tc>
        <w:tc>
          <w:tcPr>
            <w:tcW w:type="dxa" w:w="3685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id, session_id, asset_name, threat_name, strategy, owner, due_date, status</w:t>
            </w:r>
          </w:p>
        </w:tc>
        <w:tc>
          <w:tcPr>
            <w:tcW w:type="dxa" w:w="2551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UNIQUE(session+asset+threat)</w:t>
            </w:r>
          </w:p>
        </w:tc>
        <w:tc>
          <w:tcPr>
            <w:tcW w:type="dxa" w:w="2551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ISO 27001 risk treatment records</w:t>
            </w:r>
          </w:p>
        </w:tc>
      </w:tr>
    </w:tbl>
    <w:p/>
    <w:p>
      <w:pPr>
        <w:spacing w:before="160" w:after="40"/>
        <w:pBdr>
          <w:bottom w:val="single" w:sz="4" w:space="4" w:color="2774C2"/>
        </w:pBdr>
      </w:pPr>
      <w:r>
        <w:rPr>
          <w:rFonts w:ascii="Calibri" w:hAnsi="Calibri"/>
          <w:b/>
          <w:i w:val="0"/>
          <w:color w:val="2774C2"/>
          <w:sz w:val="24"/>
        </w:rPr>
        <w:t>Key Design Decisions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F4F8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  <w:p>
            <w:pPr>
              <w:spacing w:before="80" w:after="40"/>
              <w:ind w:left="170"/>
            </w:pPr>
            <w:r>
              <w:rPr>
                <w:rFonts w:ascii="Calibri" w:hAnsi="Calibri"/>
                <w:b/>
                <w:i w:val="0"/>
                <w:color w:val="2774C2"/>
                <w:sz w:val="20"/>
              </w:rPr>
              <w:t>Storage Design</w:t>
            </w:r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  <w:t xml:space="preserve">  ✓  WAL mode — concurrent reads without locking writes</w:t>
            </w:r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  <w:t xml:space="preserve">  ✓  PRAGMA foreign_keys = ON — referential integrity enforced</w:t>
            </w:r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  <w:t xml:space="preserve">  ✓  6 indices on session_id and FK columns</w:t>
            </w:r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  <w:t xml:space="preserve">  ✓  Cascading deletes on asset removal (threats follow)</w:t>
            </w:r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  <w:t xml:space="preserve">  ✓  Parameterised queries throughout (SQL injection prevention)</w:t>
            </w:r>
          </w:p>
        </w:tc>
        <w:tc>
          <w:tcPr>
            <w:tcW w:type="dxa" w:w="4933"/>
            <w:shd w:fill="F4F8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  <w:p>
            <w:pPr>
              <w:spacing w:before="80" w:after="40"/>
              <w:ind w:left="170"/>
            </w:pPr>
            <w:r>
              <w:rPr>
                <w:rFonts w:ascii="Calibri" w:hAnsi="Calibri"/>
                <w:b/>
                <w:i w:val="0"/>
                <w:color w:val="2774C2"/>
                <w:sz w:val="20"/>
              </w:rPr>
              <w:t>Query Patterns</w:t>
            </w:r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  <w:t xml:space="preserve">  ✓  Session partitioning — each browser session is isolated</w:t>
            </w:r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  <w:t xml:space="preserve">  ✓  ON CONFLICT … DO UPDATE (upsert) for treatment plans &amp; compliance</w:t>
            </w:r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  <w:t xml:space="preserve">  ✓  results_json blob — risk register serialised as JSON for flexibility</w:t>
            </w:r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  <w:t xml:space="preserve">  ✓  get_all_assessments() returns parsed summary for history trending</w:t>
            </w:r>
          </w:p>
          <w:p>
            <w:pPr>
              <w:spacing w:before="20" w:after="20"/>
              <w:ind w:left="113"/>
            </w:pPr>
            <w:r>
              <w:rPr>
                <w:rFonts w:ascii="Calibri" w:hAnsi="Calibri"/>
                <w:b w:val="0"/>
                <w:i w:val="0"/>
                <w:color w:val="2C3E50"/>
                <w:sz w:val="19"/>
              </w:rPr>
              <w:t xml:space="preserve">  ✓  Designed for easy migration to PostgreSQL (standard SQL)</w:t>
            </w:r>
          </w:p>
        </w:tc>
      </w:tr>
    </w:tbl>
    <w:p/>
    <w:p>
      <w:r>
        <w:br w:type="page"/>
      </w:r>
    </w:p>
    <w:p>
      <w:pPr>
        <w:shd w:fill="1D4E89" w:val="clear"/>
        <w:spacing w:before="120" w:after="40"/>
        <w:jc w:val="left"/>
      </w:pPr>
      <w:r>
        <w:rPr>
          <w:rFonts w:ascii="Calibri" w:hAnsi="Calibri"/>
          <w:b/>
          <w:i w:val="0"/>
          <w:color w:val="D4AC0D"/>
          <w:sz w:val="26"/>
        </w:rPr>
        <w:t xml:space="preserve">  10  </w:t>
      </w:r>
      <w:r>
        <w:rPr>
          <w:rFonts w:ascii="Calibri" w:hAnsi="Calibri"/>
          <w:b w:val="0"/>
          <w:i w:val="0"/>
          <w:color w:val="7AA7D3"/>
          <w:sz w:val="26"/>
        </w:rPr>
        <w:t xml:space="preserve">│  </w:t>
      </w:r>
      <w:r>
        <w:rPr>
          <w:rFonts w:ascii="Calibri" w:hAnsi="Calibri"/>
          <w:b/>
          <w:i w:val="0"/>
          <w:color w:val="FFFFFF"/>
          <w:sz w:val="26"/>
        </w:rPr>
        <w:t>SECURITY CONTROLS &amp; TESTING</w:t>
      </w:r>
    </w:p>
    <w:p>
      <w:pPr>
        <w:spacing w:before="40" w:after="40"/>
        <w:ind w:left="0"/>
        <w:jc w:val="both"/>
      </w:pPr>
      <w:r>
        <w:rPr>
          <w:rFonts w:ascii="Calibri" w:hAnsi="Calibri"/>
          <w:b w:val="0"/>
          <w:i w:val="0"/>
          <w:color w:val="2C3E50"/>
          <w:sz w:val="21"/>
        </w:rPr>
        <w:t>Security is a first-class concern throughout the codebase. The platform implements multiple defensive layers to prevent common web vulnerabilities and includes a documented penetration test report.</w:t>
      </w:r>
    </w:p>
    <w:p>
      <w:pPr>
        <w:spacing w:before="160" w:after="40"/>
        <w:pBdr>
          <w:bottom w:val="single" w:sz="4" w:space="4" w:color="2774C2"/>
        </w:pBdr>
      </w:pPr>
      <w:r>
        <w:rPr>
          <w:rFonts w:ascii="Calibri" w:hAnsi="Calibri"/>
          <w:b/>
          <w:i w:val="0"/>
          <w:color w:val="2774C2"/>
          <w:sz w:val="24"/>
        </w:rPr>
        <w:t>Built-In Security Controls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551"/>
            <w:shd w:fill="0F284A" w:val="clear"/>
            <w:tcBorders>
              <w:bottom w:val="single" w:sz="8" w:color="2774C2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4535"/>
            <w:shd w:fill="0F284A" w:val="clear"/>
            <w:tcBorders>
              <w:bottom w:val="single" w:sz="8" w:color="2774C2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Implementation</w:t>
            </w:r>
          </w:p>
        </w:tc>
        <w:tc>
          <w:tcPr>
            <w:tcW w:type="dxa" w:w="2551"/>
            <w:shd w:fill="0F284A" w:val="clear"/>
            <w:tcBorders>
              <w:bottom w:val="single" w:sz="8" w:color="2774C2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Mitigates</w:t>
            </w:r>
          </w:p>
        </w:tc>
      </w:tr>
      <w:tr>
        <w:tc>
          <w:tcPr>
            <w:tcW w:type="dxa" w:w="2551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SQL Injection Prevention</w:t>
            </w:r>
          </w:p>
        </w:tc>
        <w:tc>
          <w:tcPr>
            <w:tcW w:type="dxa" w:w="4535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All DB queries use parameterised statements (? placeholders)</w:t>
            </w:r>
          </w:p>
        </w:tc>
        <w:tc>
          <w:tcPr>
            <w:tcW w:type="dxa" w:w="2551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OWASP A03</w:t>
            </w:r>
          </w:p>
        </w:tc>
      </w:tr>
      <w:tr>
        <w:tc>
          <w:tcPr>
            <w:tcW w:type="dxa" w:w="2551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Session Isolation</w:t>
            </w:r>
          </w:p>
        </w:tc>
        <w:tc>
          <w:tcPr>
            <w:tcW w:type="dxa" w:w="4535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UUID session_id partitions all data per browser session</w:t>
            </w:r>
          </w:p>
        </w:tc>
        <w:tc>
          <w:tcPr>
            <w:tcW w:type="dxa" w:w="2551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Data leakage between users</w:t>
            </w:r>
          </w:p>
        </w:tc>
      </w:tr>
      <w:tr>
        <w:tc>
          <w:tcPr>
            <w:tcW w:type="dxa" w:w="2551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Input Validation</w:t>
            </w:r>
          </w:p>
        </w:tc>
        <w:tc>
          <w:tcPr>
            <w:tcW w:type="dxa" w:w="4535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validate_assessment_inputs() enforces formula constraints before calculation</w:t>
            </w:r>
          </w:p>
        </w:tc>
        <w:tc>
          <w:tcPr>
            <w:tcW w:type="dxa" w:w="2551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Invalid / malformed risk data</w:t>
            </w:r>
          </w:p>
        </w:tc>
      </w:tr>
      <w:tr>
        <w:tc>
          <w:tcPr>
            <w:tcW w:type="dxa" w:w="2551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Rate Limiting — NVD</w:t>
            </w:r>
          </w:p>
        </w:tc>
        <w:tc>
          <w:tcPr>
            <w:tcW w:type="dxa" w:w="4535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5 req / 30 sec enforced (NVD policy); configurable with API key</w:t>
            </w:r>
          </w:p>
        </w:tc>
        <w:tc>
          <w:tcPr>
            <w:tcW w:type="dxa" w:w="2551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API abuse / ban</w:t>
            </w:r>
          </w:p>
        </w:tc>
      </w:tr>
      <w:tr>
        <w:tc>
          <w:tcPr>
            <w:tcW w:type="dxa" w:w="2551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Rate Limiting — Flask</w:t>
            </w:r>
          </w:p>
        </w:tc>
        <w:tc>
          <w:tcPr>
            <w:tcW w:type="dxa" w:w="4535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100 req / 60 sec (configurable in config.py)</w:t>
            </w:r>
          </w:p>
        </w:tc>
        <w:tc>
          <w:tcPr>
            <w:tcW w:type="dxa" w:w="2551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DoS on optional REST API</w:t>
            </w:r>
          </w:p>
        </w:tc>
      </w:tr>
      <w:tr>
        <w:tc>
          <w:tcPr>
            <w:tcW w:type="dxa" w:w="2551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HTTPS</w:t>
            </w:r>
          </w:p>
        </w:tc>
        <w:tc>
          <w:tcPr>
            <w:tcW w:type="dxa" w:w="4535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Streamlit Cloud auto-enforces HTTPS; Flask accepts --ssl-certfile</w:t>
            </w:r>
          </w:p>
        </w:tc>
        <w:tc>
          <w:tcPr>
            <w:tcW w:type="dxa" w:w="2551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MITM / eavesdropping</w:t>
            </w:r>
          </w:p>
        </w:tc>
      </w:tr>
      <w:tr>
        <w:tc>
          <w:tcPr>
            <w:tcW w:type="dxa" w:w="2551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Secrets Management</w:t>
            </w:r>
          </w:p>
        </w:tc>
        <w:tc>
          <w:tcPr>
            <w:tcW w:type="dxa" w:w="4535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st.secrets → os.environ bridge; .env.example (no real keys)</w:t>
            </w:r>
          </w:p>
        </w:tc>
        <w:tc>
          <w:tcPr>
            <w:tcW w:type="dxa" w:w="2551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Credential exposure in repo</w:t>
            </w:r>
          </w:p>
        </w:tc>
      </w:tr>
      <w:tr>
        <w:tc>
          <w:tcPr>
            <w:tcW w:type="dxa" w:w="2551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Fallback Resilience</w:t>
            </w:r>
          </w:p>
        </w:tc>
        <w:tc>
          <w:tcPr>
            <w:tcW w:type="dxa" w:w="4535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mock_cves.json + fallback_controls.json if APIs unavailable</w:t>
            </w:r>
          </w:p>
        </w:tc>
        <w:tc>
          <w:tcPr>
            <w:tcW w:type="dxa" w:w="2551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Service unavailability</w:t>
            </w:r>
          </w:p>
        </w:tc>
      </w:tr>
    </w:tbl>
    <w:p/>
    <w:p>
      <w:pPr>
        <w:spacing w:before="160" w:after="40"/>
        <w:pBdr>
          <w:bottom w:val="single" w:sz="4" w:space="4" w:color="2774C2"/>
        </w:pBdr>
      </w:pPr>
      <w:r>
        <w:rPr>
          <w:rFonts w:ascii="Calibri" w:hAnsi="Calibri"/>
          <w:b/>
          <w:i w:val="0"/>
          <w:color w:val="2774C2"/>
          <w:sz w:val="24"/>
        </w:rPr>
        <w:t>Test Suite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118"/>
            <w:shd w:fill="0F284A" w:val="clear"/>
            <w:tcBorders>
              <w:bottom w:val="single" w:sz="8" w:color="2774C2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File</w:t>
            </w:r>
          </w:p>
        </w:tc>
        <w:tc>
          <w:tcPr>
            <w:tcW w:type="dxa" w:w="3685"/>
            <w:shd w:fill="0F284A" w:val="clear"/>
            <w:tcBorders>
              <w:bottom w:val="single" w:sz="8" w:color="2774C2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Tests</w:t>
            </w:r>
          </w:p>
        </w:tc>
        <w:tc>
          <w:tcPr>
            <w:tcW w:type="dxa" w:w="3685"/>
            <w:shd w:fill="0F284A" w:val="clear"/>
            <w:tcBorders>
              <w:bottom w:val="single" w:sz="8" w:color="2774C2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Coverage</w:t>
            </w:r>
          </w:p>
        </w:tc>
      </w:tr>
      <w:tr>
        <w:tc>
          <w:tcPr>
            <w:tcW w:type="dxa" w:w="3118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backend/tests/test_risk_engine.py</w:t>
            </w:r>
          </w:p>
        </w:tc>
        <w:tc>
          <w:tcPr>
            <w:tcW w:type="dxa" w:w="3685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Unit tests for all 8 risk formula functions</w:t>
            </w:r>
          </w:p>
        </w:tc>
        <w:tc>
          <w:tcPr>
            <w:tcW w:type="dxa" w:w="3685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SLE, ALE, Risk Score, RIR, CBA, criticality bands, input validation</w:t>
            </w:r>
          </w:p>
        </w:tc>
      </w:tr>
      <w:tr>
        <w:tc>
          <w:tcPr>
            <w:tcW w:type="dxa" w:w="3118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backend/tests/test_security.py</w:t>
            </w:r>
          </w:p>
        </w:tc>
        <w:tc>
          <w:tcPr>
            <w:tcW w:type="dxa" w:w="3685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Security penetration tests</w:t>
            </w:r>
          </w:p>
        </w:tc>
        <w:tc>
          <w:tcPr>
            <w:tcW w:type="dxa" w:w="3685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SQL injection patterns, authentication bypass, CORS policy, rate limit enforcement</w:t>
            </w:r>
          </w:p>
        </w:tc>
      </w:tr>
      <w:tr>
        <w:tc>
          <w:tcPr>
            <w:tcW w:type="dxa" w:w="3118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backend/tests/conftest.py</w:t>
            </w:r>
          </w:p>
        </w:tc>
        <w:tc>
          <w:tcPr>
            <w:tcW w:type="dxa" w:w="3685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pytest fixtures (in-memory DB, sample assets/threats)</w:t>
            </w:r>
          </w:p>
        </w:tc>
        <w:tc>
          <w:tcPr>
            <w:tcW w:type="dxa" w:w="3685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Shared test context across both test modules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B" w:val="clear"/>
            <w:tcBorders>
              <w:top w:val="single" w:sz="8" w:color="C0392B"/>
              <w:left w:val="single" w:sz="8" w:color="C0392B"/>
              <w:bottom w:val="single" w:sz="8" w:color="C0392B"/>
              <w:right w:val="single" w:sz="8" w:color="C0392B"/>
            </w:tcBorders>
          </w:tcPr>
          <w:p/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C0392B"/>
                <w:sz w:val="18"/>
              </w:rPr>
              <w:t xml:space="preserve">  SECURITY TEST REPORT  </w:t>
            </w:r>
          </w:p>
          <w:p>
            <w:pPr>
              <w:spacing w:before="0" w:after="80"/>
              <w:ind w:left="170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 xml:space="preserve">  A dedicated SECURITY_TESTING_REPORT.md documents all penetration test results, vulnerability findings, and remediation evidence. All critical and high findings were resolved before submission.</w:t>
            </w:r>
          </w:p>
        </w:tc>
      </w:tr>
    </w:tbl>
    <w:p/>
    <w:p>
      <w:r>
        <w:br w:type="page"/>
      </w:r>
    </w:p>
    <w:p>
      <w:pPr>
        <w:shd w:fill="1D4E89" w:val="clear"/>
        <w:spacing w:before="120" w:after="40"/>
        <w:jc w:val="left"/>
      </w:pPr>
      <w:r>
        <w:rPr>
          <w:rFonts w:ascii="Calibri" w:hAnsi="Calibri"/>
          <w:b/>
          <w:i w:val="0"/>
          <w:color w:val="D4AC0D"/>
          <w:sz w:val="26"/>
        </w:rPr>
        <w:t xml:space="preserve">  11  </w:t>
      </w:r>
      <w:r>
        <w:rPr>
          <w:rFonts w:ascii="Calibri" w:hAnsi="Calibri"/>
          <w:b w:val="0"/>
          <w:i w:val="0"/>
          <w:color w:val="7AA7D3"/>
          <w:sz w:val="26"/>
        </w:rPr>
        <w:t xml:space="preserve">│  </w:t>
      </w:r>
      <w:r>
        <w:rPr>
          <w:rFonts w:ascii="Calibri" w:hAnsi="Calibri"/>
          <w:b/>
          <w:i w:val="0"/>
          <w:color w:val="FFFFFF"/>
          <w:sz w:val="26"/>
        </w:rPr>
        <w:t>AI-POWERED THREAT INTELLIGENCE</w:t>
      </w:r>
    </w:p>
    <w:p>
      <w:pPr>
        <w:spacing w:before="160" w:after="40"/>
        <w:pBdr>
          <w:bottom w:val="single" w:sz="4" w:space="4" w:color="2774C2"/>
        </w:pBdr>
      </w:pPr>
      <w:r>
        <w:rPr>
          <w:rFonts w:ascii="Calibri" w:hAnsi="Calibri"/>
          <w:b/>
          <w:i w:val="0"/>
          <w:color w:val="2774C2"/>
          <w:sz w:val="24"/>
        </w:rPr>
        <w:t>Anthropic Claude Integration</w:t>
      </w:r>
    </w:p>
    <w:p>
      <w:pPr>
        <w:spacing w:before="40" w:after="40"/>
        <w:ind w:left="0"/>
        <w:jc w:val="both"/>
      </w:pPr>
      <w:r>
        <w:rPr>
          <w:rFonts w:ascii="Calibri" w:hAnsi="Calibri"/>
          <w:b w:val="0"/>
          <w:i w:val="0"/>
          <w:color w:val="2C3E50"/>
          <w:sz w:val="21"/>
        </w:rPr>
        <w:t>The LLM Advisor module (backend/modules/llm_advisor.py) queries Anthropic's Claude (claude-haiku-4-5) with the top 5 risks from the register and returns structured JSON control recommendations. If no API key is configured, the system automatically falls back to a rule-based engine using fallback_controls.json — ensuring the platform is fully functional without cloud credentials.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551"/>
            <w:shd w:fill="0F284A" w:val="clear"/>
            <w:tcBorders>
              <w:bottom w:val="single" w:sz="8" w:color="2774C2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Capability</w:t>
            </w:r>
          </w:p>
        </w:tc>
        <w:tc>
          <w:tcPr>
            <w:tcW w:type="dxa" w:w="2551"/>
            <w:shd w:fill="0F284A" w:val="clear"/>
            <w:tcBorders>
              <w:bottom w:val="single" w:sz="8" w:color="2774C2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5102"/>
            <w:shd w:fill="0F284A" w:val="clear"/>
            <w:tcBorders>
              <w:bottom w:val="single" w:sz="8" w:color="2774C2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51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Control Recommendations</w:t>
            </w:r>
          </w:p>
        </w:tc>
        <w:tc>
          <w:tcPr>
            <w:tcW w:type="dxa" w:w="2551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Claude claude-haiku-4-5</w:t>
            </w:r>
          </w:p>
        </w:tc>
        <w:tc>
          <w:tcPr>
            <w:tcW w:type="dxa" w:w="5102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Top 5 risks → NIST control IDs, names, explanations, priority, cost estimate</w:t>
            </w:r>
          </w:p>
        </w:tc>
      </w:tr>
      <w:tr>
        <w:tc>
          <w:tcPr>
            <w:tcW w:type="dxa" w:w="2551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Structured Output</w:t>
            </w:r>
          </w:p>
        </w:tc>
        <w:tc>
          <w:tcPr>
            <w:tcW w:type="dxa" w:w="2551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JSON schema enforcement</w:t>
            </w:r>
          </w:p>
        </w:tc>
        <w:tc>
          <w:tcPr>
            <w:tcW w:type="dxa" w:w="5102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LLM instructed to return valid JSON; parsed and validated before display</w:t>
            </w:r>
          </w:p>
        </w:tc>
      </w:tr>
      <w:tr>
        <w:tc>
          <w:tcPr>
            <w:tcW w:type="dxa" w:w="2551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Offline Fallback</w:t>
            </w:r>
          </w:p>
        </w:tc>
        <w:tc>
          <w:tcPr>
            <w:tcW w:type="dxa" w:w="2551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fallback_controls.json</w:t>
            </w:r>
          </w:p>
        </w:tc>
        <w:tc>
          <w:tcPr>
            <w:tcW w:type="dxa" w:w="5102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Rule-based mapping: criticality band → pre-defined NIST controls</w:t>
            </w:r>
          </w:p>
        </w:tc>
      </w:tr>
      <w:tr>
        <w:tc>
          <w:tcPr>
            <w:tcW w:type="dxa" w:w="2551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CVE Intelligence</w:t>
            </w:r>
          </w:p>
        </w:tc>
        <w:tc>
          <w:tcPr>
            <w:tcW w:type="dxa" w:w="2551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NIST NVD API v2.0</w:t>
            </w:r>
          </w:p>
        </w:tc>
        <w:tc>
          <w:tcPr>
            <w:tcW w:type="dxa" w:w="5102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Per-asset CVE lookup; CVSS v3.1/3.0/v2 parsing; top 5 results</w:t>
            </w:r>
          </w:p>
        </w:tc>
      </w:tr>
      <w:tr>
        <w:tc>
          <w:tcPr>
            <w:tcW w:type="dxa" w:w="2551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CVE Mock Fallback</w:t>
            </w:r>
          </w:p>
        </w:tc>
        <w:tc>
          <w:tcPr>
            <w:tcW w:type="dxa" w:w="2551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mock_cves.json</w:t>
            </w:r>
          </w:p>
        </w:tc>
        <w:tc>
          <w:tcPr>
            <w:tcW w:type="dxa" w:w="5102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Realistic offline CVE data — platform works without internet</w:t>
            </w:r>
          </w:p>
        </w:tc>
      </w:tr>
      <w:tr>
        <w:tc>
          <w:tcPr>
            <w:tcW w:type="dxa" w:w="2551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Critical CVE Alerts</w:t>
            </w:r>
          </w:p>
        </w:tc>
        <w:tc>
          <w:tcPr>
            <w:tcW w:type="dxa" w:w="2551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notifications table</w:t>
            </w:r>
          </w:p>
        </w:tc>
        <w:tc>
          <w:tcPr>
            <w:tcW w:type="dxa" w:w="5102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Critical CVEs (CVSS ≥ 9.0) logged automatically as notifications</w:t>
            </w:r>
          </w:p>
        </w:tc>
      </w:tr>
      <w:tr>
        <w:tc>
          <w:tcPr>
            <w:tcW w:type="dxa" w:w="2551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CVE Keyword Search</w:t>
            </w:r>
          </w:p>
        </w:tc>
        <w:tc>
          <w:tcPr>
            <w:tcW w:type="dxa" w:w="2551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NVD free-text search</w:t>
            </w:r>
          </w:p>
        </w:tc>
        <w:tc>
          <w:tcPr>
            <w:tcW w:type="dxa" w:w="5102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User-driven search for any software, product, or CVE keyword</w:t>
            </w:r>
          </w:p>
        </w:tc>
      </w:tr>
    </w:tbl>
    <w:p/>
    <w:p>
      <w:pPr>
        <w:spacing w:before="160" w:after="40"/>
        <w:pBdr>
          <w:bottom w:val="single" w:sz="4" w:space="4" w:color="2774C2"/>
        </w:pBdr>
      </w:pPr>
      <w:r>
        <w:rPr>
          <w:rFonts w:ascii="Calibri" w:hAnsi="Calibri"/>
          <w:b/>
          <w:i w:val="0"/>
          <w:color w:val="2774C2"/>
          <w:sz w:val="24"/>
        </w:rPr>
        <w:t>CVE Severity Classification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417"/>
            <w:shd w:fill="0F284A" w:val="clear"/>
            <w:tcBorders>
              <w:bottom w:val="single" w:sz="8" w:color="2774C2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Severity</w:t>
            </w:r>
          </w:p>
        </w:tc>
        <w:tc>
          <w:tcPr>
            <w:tcW w:type="dxa" w:w="1417"/>
            <w:shd w:fill="0F284A" w:val="clear"/>
            <w:tcBorders>
              <w:bottom w:val="single" w:sz="8" w:color="2774C2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CVSS Score</w:t>
            </w:r>
          </w:p>
        </w:tc>
        <w:tc>
          <w:tcPr>
            <w:tcW w:type="dxa" w:w="3118"/>
            <w:shd w:fill="0F284A" w:val="clear"/>
            <w:tcBorders>
              <w:bottom w:val="single" w:sz="8" w:color="2774C2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Platform Colour</w:t>
            </w:r>
          </w:p>
        </w:tc>
        <w:tc>
          <w:tcPr>
            <w:tcW w:type="dxa" w:w="4252"/>
            <w:shd w:fill="0F284A" w:val="clear"/>
            <w:tcBorders>
              <w:bottom w:val="single" w:sz="8" w:color="2774C2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Response Level</w:t>
            </w:r>
          </w:p>
        </w:tc>
      </w:tr>
      <w:tr>
        <w:tc>
          <w:tcPr>
            <w:tcW w:type="dxa" w:w="1417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Critical</w:t>
            </w:r>
          </w:p>
        </w:tc>
        <w:tc>
          <w:tcPr>
            <w:tcW w:type="dxa" w:w="1417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9.0 – 10.0</w:t>
            </w:r>
          </w:p>
        </w:tc>
        <w:tc>
          <w:tcPr>
            <w:tcW w:type="dxa" w:w="3118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Red (#EF4444) — pulsing badge</w:t>
            </w:r>
          </w:p>
        </w:tc>
        <w:tc>
          <w:tcPr>
            <w:tcW w:type="dxa" w:w="4252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Immediate notification; board-level escalation</w:t>
            </w:r>
          </w:p>
        </w:tc>
      </w:tr>
      <w:tr>
        <w:tc>
          <w:tcPr>
            <w:tcW w:type="dxa" w:w="1417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High</w:t>
            </w:r>
          </w:p>
        </w:tc>
        <w:tc>
          <w:tcPr>
            <w:tcW w:type="dxa" w:w="1417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7.0 – 8.9</w:t>
            </w:r>
          </w:p>
        </w:tc>
        <w:tc>
          <w:tcPr>
            <w:tcW w:type="dxa" w:w="3118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Orange (#F97316)</w:t>
            </w:r>
          </w:p>
        </w:tc>
        <w:tc>
          <w:tcPr>
            <w:tcW w:type="dxa" w:w="4252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Priority remediation; assign owner within 48h</w:t>
            </w:r>
          </w:p>
        </w:tc>
      </w:tr>
      <w:tr>
        <w:tc>
          <w:tcPr>
            <w:tcW w:type="dxa" w:w="1417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Medium</w:t>
            </w:r>
          </w:p>
        </w:tc>
        <w:tc>
          <w:tcPr>
            <w:tcW w:type="dxa" w:w="1417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4.0 – 6.9</w:t>
            </w:r>
          </w:p>
        </w:tc>
        <w:tc>
          <w:tcPr>
            <w:tcW w:type="dxa" w:w="3118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Yellow (#EAB308)</w:t>
            </w:r>
          </w:p>
        </w:tc>
        <w:tc>
          <w:tcPr>
            <w:tcW w:type="dxa" w:w="4252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Schedule treatment; next sprint inclusion</w:t>
            </w:r>
          </w:p>
        </w:tc>
      </w:tr>
      <w:tr>
        <w:tc>
          <w:tcPr>
            <w:tcW w:type="dxa" w:w="1417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Low</w:t>
            </w:r>
          </w:p>
        </w:tc>
        <w:tc>
          <w:tcPr>
            <w:tcW w:type="dxa" w:w="1417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0.1 – 3.9</w:t>
            </w:r>
          </w:p>
        </w:tc>
        <w:tc>
          <w:tcPr>
            <w:tcW w:type="dxa" w:w="3118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Green (#22C55E)</w:t>
            </w:r>
          </w:p>
        </w:tc>
        <w:tc>
          <w:tcPr>
            <w:tcW w:type="dxa" w:w="4252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Monitor; annual review</w:t>
            </w:r>
          </w:p>
        </w:tc>
      </w:tr>
    </w:tbl>
    <w:p/>
    <w:p>
      <w:r>
        <w:br w:type="page"/>
      </w:r>
    </w:p>
    <w:p>
      <w:pPr>
        <w:shd w:fill="1D4E89" w:val="clear"/>
        <w:spacing w:before="120" w:after="40"/>
        <w:jc w:val="left"/>
      </w:pPr>
      <w:r>
        <w:rPr>
          <w:rFonts w:ascii="Calibri" w:hAnsi="Calibri"/>
          <w:b/>
          <w:i w:val="0"/>
          <w:color w:val="D4AC0D"/>
          <w:sz w:val="26"/>
        </w:rPr>
        <w:t xml:space="preserve">  12  </w:t>
      </w:r>
      <w:r>
        <w:rPr>
          <w:rFonts w:ascii="Calibri" w:hAnsi="Calibri"/>
          <w:b w:val="0"/>
          <w:i w:val="0"/>
          <w:color w:val="7AA7D3"/>
          <w:sz w:val="26"/>
        </w:rPr>
        <w:t xml:space="preserve">│  </w:t>
      </w:r>
      <w:r>
        <w:rPr>
          <w:rFonts w:ascii="Calibri" w:hAnsi="Calibri"/>
          <w:b/>
          <w:i w:val="0"/>
          <w:color w:val="FFFFFF"/>
          <w:sz w:val="26"/>
        </w:rPr>
        <w:t>KEY PLATFORM STATISTICS</w:t>
      </w:r>
    </w:p>
    <w:p>
      <w:pPr>
        <w:spacing w:before="160" w:after="40"/>
        <w:pBdr>
          <w:bottom w:val="single" w:sz="4" w:space="4" w:color="2774C2"/>
        </w:pBdr>
      </w:pPr>
      <w:r>
        <w:rPr>
          <w:rFonts w:ascii="Calibri" w:hAnsi="Calibri"/>
          <w:b/>
          <w:i w:val="0"/>
          <w:color w:val="2774C2"/>
          <w:sz w:val="24"/>
        </w:rPr>
        <w:t>Codebase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fill="0F284A" w:val="clear"/>
            <w:tcBorders>
              <w:bottom w:val="single" w:sz="8" w:color="2774C2"/>
            </w:tcBorders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i w:val="0"/>
                <w:color w:val="D4AC0D"/>
                <w:sz w:val="44"/>
              </w:rPr>
              <w:t>40+</w:t>
            </w:r>
          </w:p>
        </w:tc>
        <w:tc>
          <w:tcPr>
            <w:tcW w:type="dxa" w:w="1973"/>
            <w:shd w:fill="0F284A" w:val="clear"/>
            <w:tcBorders>
              <w:bottom w:val="single" w:sz="8" w:color="2774C2"/>
            </w:tcBorders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i w:val="0"/>
                <w:color w:val="D4AC0D"/>
                <w:sz w:val="44"/>
              </w:rPr>
              <w:t>4,500+</w:t>
            </w:r>
          </w:p>
        </w:tc>
        <w:tc>
          <w:tcPr>
            <w:tcW w:type="dxa" w:w="1973"/>
            <w:shd w:fill="0F284A" w:val="clear"/>
            <w:tcBorders>
              <w:bottom w:val="single" w:sz="8" w:color="2774C2"/>
            </w:tcBorders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i w:val="0"/>
                <w:color w:val="D4AC0D"/>
                <w:sz w:val="44"/>
              </w:rPr>
              <w:t>850+</w:t>
            </w:r>
          </w:p>
        </w:tc>
        <w:tc>
          <w:tcPr>
            <w:tcW w:type="dxa" w:w="1973"/>
            <w:shd w:fill="0F284A" w:val="clear"/>
            <w:tcBorders>
              <w:bottom w:val="single" w:sz="8" w:color="2774C2"/>
            </w:tcBorders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i w:val="0"/>
                <w:color w:val="D4AC0D"/>
                <w:sz w:val="44"/>
              </w:rPr>
              <w:t>7</w:t>
            </w:r>
          </w:p>
        </w:tc>
        <w:tc>
          <w:tcPr>
            <w:tcW w:type="dxa" w:w="1973"/>
            <w:shd w:fill="0F284A" w:val="clear"/>
            <w:tcBorders>
              <w:bottom w:val="single" w:sz="8" w:color="2774C2"/>
            </w:tcBorders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i w:val="0"/>
                <w:color w:val="D4AC0D"/>
                <w:sz w:val="44"/>
              </w:rPr>
              <w:t>6</w:t>
            </w:r>
          </w:p>
        </w:tc>
      </w:tr>
      <w:tr>
        <w:tc>
          <w:tcPr>
            <w:tcW w:type="dxa" w:w="1973"/>
            <w:shd w:fill="1D4E89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Python Files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 w:val="0"/>
                <w:i/>
                <w:color w:val="A8C8EC"/>
                <w:sz w:val="16"/>
              </w:rPr>
              <w:t>backend + streamlit_lib + pages</w:t>
            </w:r>
          </w:p>
        </w:tc>
        <w:tc>
          <w:tcPr>
            <w:tcW w:type="dxa" w:w="1973"/>
            <w:shd w:fill="1D4E89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Lines of Code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 w:val="0"/>
                <w:i/>
                <w:color w:val="A8C8EC"/>
                <w:sz w:val="16"/>
              </w:rPr>
              <w:t>production-grade Python</w:t>
            </w:r>
          </w:p>
        </w:tc>
        <w:tc>
          <w:tcPr>
            <w:tcW w:type="dxa" w:w="1973"/>
            <w:shd w:fill="1D4E89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CSS Lines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 w:val="0"/>
                <w:i/>
                <w:color w:val="A8C8EC"/>
                <w:sz w:val="16"/>
              </w:rPr>
              <w:t>dark theme + 20 animations</w:t>
            </w:r>
          </w:p>
        </w:tc>
        <w:tc>
          <w:tcPr>
            <w:tcW w:type="dxa" w:w="1973"/>
            <w:shd w:fill="1D4E89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DB Tables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 w:val="0"/>
                <w:i/>
                <w:color w:val="A8C8EC"/>
                <w:sz w:val="16"/>
              </w:rPr>
              <w:t>normalised relational schema</w:t>
            </w:r>
          </w:p>
        </w:tc>
        <w:tc>
          <w:tcPr>
            <w:tcW w:type="dxa" w:w="1973"/>
            <w:shd w:fill="1D4E89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DB Indices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 w:val="0"/>
                <w:i/>
                <w:color w:val="A8C8EC"/>
                <w:sz w:val="16"/>
              </w:rPr>
              <w:t>query performance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fill="0F284A" w:val="clear"/>
            <w:tcBorders>
              <w:bottom w:val="single" w:sz="8" w:color="2774C2"/>
            </w:tcBorders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i w:val="0"/>
                <w:color w:val="D4AC0D"/>
                <w:sz w:val="44"/>
              </w:rPr>
              <w:t>50+</w:t>
            </w:r>
          </w:p>
        </w:tc>
        <w:tc>
          <w:tcPr>
            <w:tcW w:type="dxa" w:w="1973"/>
            <w:shd w:fill="0F284A" w:val="clear"/>
            <w:tcBorders>
              <w:bottom w:val="single" w:sz="8" w:color="2774C2"/>
            </w:tcBorders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i w:val="0"/>
                <w:color w:val="D4AC0D"/>
                <w:sz w:val="44"/>
              </w:rPr>
              <w:t>8</w:t>
            </w:r>
          </w:p>
        </w:tc>
        <w:tc>
          <w:tcPr>
            <w:tcW w:type="dxa" w:w="1973"/>
            <w:shd w:fill="0F284A" w:val="clear"/>
            <w:tcBorders>
              <w:bottom w:val="single" w:sz="8" w:color="2774C2"/>
            </w:tcBorders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i w:val="0"/>
                <w:color w:val="D4AC0D"/>
                <w:sz w:val="44"/>
              </w:rPr>
              <w:t>20+</w:t>
            </w:r>
          </w:p>
        </w:tc>
        <w:tc>
          <w:tcPr>
            <w:tcW w:type="dxa" w:w="1973"/>
            <w:shd w:fill="0F284A" w:val="clear"/>
            <w:tcBorders>
              <w:bottom w:val="single" w:sz="8" w:color="2774C2"/>
            </w:tcBorders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i w:val="0"/>
                <w:color w:val="D4AC0D"/>
                <w:sz w:val="44"/>
              </w:rPr>
              <w:t>15+</w:t>
            </w:r>
          </w:p>
        </w:tc>
        <w:tc>
          <w:tcPr>
            <w:tcW w:type="dxa" w:w="1973"/>
            <w:shd w:fill="0F284A" w:val="clear"/>
            <w:tcBorders>
              <w:bottom w:val="single" w:sz="8" w:color="2774C2"/>
            </w:tcBorders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i w:val="0"/>
                <w:color w:val="D4AC0D"/>
                <w:sz w:val="44"/>
              </w:rPr>
              <w:t>15+</w:t>
            </w:r>
          </w:p>
        </w:tc>
      </w:tr>
      <w:tr>
        <w:tc>
          <w:tcPr>
            <w:tcW w:type="dxa" w:w="1973"/>
            <w:shd w:fill="1D4E89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Functions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 w:val="0"/>
                <w:i/>
                <w:color w:val="A8C8EC"/>
                <w:sz w:val="16"/>
              </w:rPr>
              <w:t>risk, DB, charts, services</w:t>
            </w:r>
          </w:p>
        </w:tc>
        <w:tc>
          <w:tcPr>
            <w:tcW w:type="dxa" w:w="1973"/>
            <w:shd w:fill="1D4E89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Chart Types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 w:val="0"/>
                <w:i/>
                <w:color w:val="A8C8EC"/>
                <w:sz w:val="16"/>
              </w:rPr>
              <w:t>Plotly interactive</w:t>
            </w:r>
          </w:p>
        </w:tc>
        <w:tc>
          <w:tcPr>
            <w:tcW w:type="dxa" w:w="1973"/>
            <w:shd w:fill="1D4E89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REST Endpoints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 w:val="0"/>
                <w:i/>
                <w:color w:val="A8C8EC"/>
                <w:sz w:val="16"/>
              </w:rPr>
              <w:t>Flask optional API</w:t>
            </w:r>
          </w:p>
        </w:tc>
        <w:tc>
          <w:tcPr>
            <w:tcW w:type="dxa" w:w="1973"/>
            <w:shd w:fill="1D4E89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Test Cases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 w:val="0"/>
                <w:i/>
                <w:color w:val="A8C8EC"/>
                <w:sz w:val="16"/>
              </w:rPr>
              <w:t>pytest unit + security</w:t>
            </w:r>
          </w:p>
        </w:tc>
        <w:tc>
          <w:tcPr>
            <w:tcW w:type="dxa" w:w="1973"/>
            <w:shd w:fill="1D4E89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Git Commits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 w:val="0"/>
                <w:i/>
                <w:color w:val="A8C8EC"/>
                <w:sz w:val="16"/>
              </w:rPr>
              <w:t>feature-based history</w:t>
            </w:r>
          </w:p>
        </w:tc>
      </w:tr>
    </w:tbl>
    <w:p/>
    <w:p>
      <w:pPr>
        <w:spacing w:before="160" w:after="40"/>
        <w:pBdr>
          <w:bottom w:val="single" w:sz="4" w:space="4" w:color="2774C2"/>
        </w:pBdr>
      </w:pPr>
      <w:r>
        <w:rPr>
          <w:rFonts w:ascii="Calibri" w:hAnsi="Calibri"/>
          <w:b/>
          <w:i w:val="0"/>
          <w:color w:val="2774C2"/>
          <w:sz w:val="24"/>
        </w:rPr>
        <w:t>Platform Feature Count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fill="0F284A" w:val="clear"/>
            <w:tcBorders>
              <w:bottom w:val="single" w:sz="8" w:color="2774C2"/>
            </w:tcBorders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i w:val="0"/>
                <w:color w:val="D4AC0D"/>
                <w:sz w:val="44"/>
              </w:rPr>
              <w:t>7</w:t>
            </w:r>
          </w:p>
        </w:tc>
        <w:tc>
          <w:tcPr>
            <w:tcW w:type="dxa" w:w="1973"/>
            <w:shd w:fill="0F284A" w:val="clear"/>
            <w:tcBorders>
              <w:bottom w:val="single" w:sz="8" w:color="2774C2"/>
            </w:tcBorders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i w:val="0"/>
                <w:color w:val="D4AC0D"/>
                <w:sz w:val="44"/>
              </w:rPr>
              <w:t>20</w:t>
            </w:r>
          </w:p>
        </w:tc>
        <w:tc>
          <w:tcPr>
            <w:tcW w:type="dxa" w:w="1973"/>
            <w:shd w:fill="0F284A" w:val="clear"/>
            <w:tcBorders>
              <w:bottom w:val="single" w:sz="8" w:color="2774C2"/>
            </w:tcBorders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i w:val="0"/>
                <w:color w:val="D4AC0D"/>
                <w:sz w:val="44"/>
              </w:rPr>
              <w:t>3</w:t>
            </w:r>
          </w:p>
        </w:tc>
        <w:tc>
          <w:tcPr>
            <w:tcW w:type="dxa" w:w="1973"/>
            <w:shd w:fill="0F284A" w:val="clear"/>
            <w:tcBorders>
              <w:bottom w:val="single" w:sz="8" w:color="2774C2"/>
            </w:tcBorders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i w:val="0"/>
                <w:color w:val="D4AC0D"/>
                <w:sz w:val="44"/>
              </w:rPr>
              <w:t>8</w:t>
            </w:r>
          </w:p>
        </w:tc>
        <w:tc>
          <w:tcPr>
            <w:tcW w:type="dxa" w:w="1973"/>
            <w:shd w:fill="0F284A" w:val="clear"/>
            <w:tcBorders>
              <w:bottom w:val="single" w:sz="8" w:color="2774C2"/>
            </w:tcBorders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i w:val="0"/>
                <w:color w:val="D4AC0D"/>
                <w:sz w:val="44"/>
              </w:rPr>
              <w:t>3</w:t>
            </w:r>
          </w:p>
        </w:tc>
      </w:tr>
      <w:tr>
        <w:tc>
          <w:tcPr>
            <w:tcW w:type="dxa" w:w="1973"/>
            <w:shd w:fill="1D4E89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App Pages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 w:val="0"/>
                <w:i/>
                <w:color w:val="A8C8EC"/>
                <w:sz w:val="16"/>
              </w:rPr>
              <w:t>landing + 6 assessment pages</w:t>
            </w:r>
          </w:p>
        </w:tc>
        <w:tc>
          <w:tcPr>
            <w:tcW w:type="dxa" w:w="1973"/>
            <w:shd w:fill="1D4E89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NIST Controls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 w:val="0"/>
                <w:i/>
                <w:color w:val="A8C8EC"/>
                <w:sz w:val="16"/>
              </w:rPr>
              <w:t>SP 800-53 tracked</w:t>
            </w:r>
          </w:p>
        </w:tc>
        <w:tc>
          <w:tcPr>
            <w:tcW w:type="dxa" w:w="1973"/>
            <w:shd w:fill="1D4E89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PDF Report Types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 w:val="0"/>
                <w:i/>
                <w:color w:val="A8C8EC"/>
                <w:sz w:val="16"/>
              </w:rPr>
              <w:t>register, CBA, compliance</w:t>
            </w:r>
          </w:p>
        </w:tc>
        <w:tc>
          <w:tcPr>
            <w:tcW w:type="dxa" w:w="1973"/>
            <w:shd w:fill="1D4E89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Assessment Formulas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 w:val="0"/>
                <w:i/>
                <w:color w:val="A8C8EC"/>
                <w:sz w:val="16"/>
              </w:rPr>
              <w:t>SLE, ALE, RIR, CBA, ...</w:t>
            </w:r>
          </w:p>
        </w:tc>
        <w:tc>
          <w:tcPr>
            <w:tcW w:type="dxa" w:w="1973"/>
            <w:shd w:fill="1D4E89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Frameworks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 w:val="0"/>
                <w:i/>
                <w:color w:val="A8C8EC"/>
                <w:sz w:val="16"/>
              </w:rPr>
              <w:t>NIST · AssessITS · ISO 27001</w:t>
            </w:r>
          </w:p>
        </w:tc>
      </w:tr>
    </w:tbl>
    <w:p/>
    <w:p>
      <w:pPr>
        <w:spacing w:before="160" w:after="40"/>
        <w:pBdr>
          <w:bottom w:val="single" w:sz="4" w:space="4" w:color="2774C2"/>
        </w:pBdr>
      </w:pPr>
      <w:r>
        <w:rPr>
          <w:rFonts w:ascii="Calibri" w:hAnsi="Calibri"/>
          <w:b/>
          <w:i w:val="0"/>
          <w:color w:val="2774C2"/>
          <w:sz w:val="24"/>
        </w:rPr>
        <w:t>Sample Demo Dataset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2835"/>
            <w:shd w:fill="0F284A" w:val="clear"/>
            <w:tcBorders>
              <w:bottom w:val="single" w:sz="8" w:color="2774C2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Asset</w:t>
            </w:r>
          </w:p>
        </w:tc>
        <w:tc>
          <w:tcPr>
            <w:tcW w:type="dxa" w:w="1417"/>
            <w:shd w:fill="0F284A" w:val="clear"/>
            <w:tcBorders>
              <w:bottom w:val="single" w:sz="8" w:color="2774C2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1587"/>
            <w:shd w:fill="0F284A" w:val="clear"/>
            <w:tcBorders>
              <w:bottom w:val="single" w:sz="8" w:color="2774C2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 (USD)</w:t>
            </w:r>
          </w:p>
        </w:tc>
        <w:tc>
          <w:tcPr>
            <w:tcW w:type="dxa" w:w="3118"/>
            <w:shd w:fill="0F284A" w:val="clear"/>
            <w:tcBorders>
              <w:bottom w:val="single" w:sz="8" w:color="2774C2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Key Threat</w:t>
            </w:r>
          </w:p>
        </w:tc>
        <w:tc>
          <w:tcPr>
            <w:tcW w:type="dxa" w:w="1134"/>
            <w:shd w:fill="0F284A" w:val="clear"/>
            <w:tcBorders>
              <w:bottom w:val="single" w:sz="8" w:color="2774C2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Est. ALE</w:t>
            </w:r>
          </w:p>
        </w:tc>
      </w:tr>
      <w:tr>
        <w:tc>
          <w:tcPr>
            <w:tcW w:type="dxa" w:w="2835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Customer Database Server</w:t>
            </w:r>
          </w:p>
        </w:tc>
        <w:tc>
          <w:tcPr>
            <w:tcW w:type="dxa" w:w="1417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Data</w:t>
            </w:r>
          </w:p>
        </w:tc>
        <w:tc>
          <w:tcPr>
            <w:tcW w:type="dxa" w:w="1587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$850,000</w:t>
            </w:r>
          </w:p>
        </w:tc>
        <w:tc>
          <w:tcPr>
            <w:tcW w:type="dxa" w:w="3118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SQL Injection / Data Breach</w:t>
            </w:r>
          </w:p>
        </w:tc>
        <w:tc>
          <w:tcPr>
            <w:tcW w:type="dxa" w:w="1134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$408,000</w:t>
            </w:r>
          </w:p>
        </w:tc>
      </w:tr>
      <w:tr>
        <w:tc>
          <w:tcPr>
            <w:tcW w:type="dxa" w:w="2835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Public Web Server</w:t>
            </w:r>
          </w:p>
        </w:tc>
        <w:tc>
          <w:tcPr>
            <w:tcW w:type="dxa" w:w="1417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Software</w:t>
            </w:r>
          </w:p>
        </w:tc>
        <w:tc>
          <w:tcPr>
            <w:tcW w:type="dxa" w:w="1587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$500,000</w:t>
            </w:r>
          </w:p>
        </w:tc>
        <w:tc>
          <w:tcPr>
            <w:tcW w:type="dxa" w:w="3118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DDoS Attack</w:t>
            </w:r>
          </w:p>
        </w:tc>
        <w:tc>
          <w:tcPr>
            <w:tcW w:type="dxa" w:w="1134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$180,000</w:t>
            </w:r>
          </w:p>
        </w:tc>
      </w:tr>
      <w:tr>
        <w:tc>
          <w:tcPr>
            <w:tcW w:type="dxa" w:w="2835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Employee Laptop Fleet</w:t>
            </w:r>
          </w:p>
        </w:tc>
        <w:tc>
          <w:tcPr>
            <w:tcW w:type="dxa" w:w="1417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Hardware</w:t>
            </w:r>
          </w:p>
        </w:tc>
        <w:tc>
          <w:tcPr>
            <w:tcW w:type="dxa" w:w="1587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$220,000</w:t>
            </w:r>
          </w:p>
        </w:tc>
        <w:tc>
          <w:tcPr>
            <w:tcW w:type="dxa" w:w="3118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Ransomware Infection</w:t>
            </w:r>
          </w:p>
        </w:tc>
        <w:tc>
          <w:tcPr>
            <w:tcW w:type="dxa" w:w="1134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$96,000</w:t>
            </w:r>
          </w:p>
        </w:tc>
      </w:tr>
      <w:tr>
        <w:tc>
          <w:tcPr>
            <w:tcW w:type="dxa" w:w="2835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Identity Management System</w:t>
            </w:r>
          </w:p>
        </w:tc>
        <w:tc>
          <w:tcPr>
            <w:tcW w:type="dxa" w:w="1417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Software</w:t>
            </w:r>
          </w:p>
        </w:tc>
        <w:tc>
          <w:tcPr>
            <w:tcW w:type="dxa" w:w="1587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$280,000</w:t>
            </w:r>
          </w:p>
        </w:tc>
        <w:tc>
          <w:tcPr>
            <w:tcW w:type="dxa" w:w="3118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Phishing / Credential Theft</w:t>
            </w:r>
          </w:p>
        </w:tc>
        <w:tc>
          <w:tcPr>
            <w:tcW w:type="dxa" w:w="1134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$126,000</w:t>
            </w:r>
          </w:p>
        </w:tc>
      </w:tr>
      <w:tr>
        <w:tc>
          <w:tcPr>
            <w:tcW w:type="dxa" w:w="2835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Email &amp; Collaboration Server</w:t>
            </w:r>
          </w:p>
        </w:tc>
        <w:tc>
          <w:tcPr>
            <w:tcW w:type="dxa" w:w="1417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Software</w:t>
            </w:r>
          </w:p>
        </w:tc>
        <w:tc>
          <w:tcPr>
            <w:tcW w:type="dxa" w:w="1587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$180,000</w:t>
            </w:r>
          </w:p>
        </w:tc>
        <w:tc>
          <w:tcPr>
            <w:tcW w:type="dxa" w:w="3118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Email Spoofing / BEC</w:t>
            </w:r>
          </w:p>
        </w:tc>
        <w:tc>
          <w:tcPr>
            <w:tcW w:type="dxa" w:w="1134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$63,000</w:t>
            </w:r>
          </w:p>
        </w:tc>
      </w:tr>
      <w:tr>
        <w:tc>
          <w:tcPr>
            <w:tcW w:type="dxa" w:w="2835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Network File Storage</w:t>
            </w:r>
          </w:p>
        </w:tc>
        <w:tc>
          <w:tcPr>
            <w:tcW w:type="dxa" w:w="1417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Data</w:t>
            </w:r>
          </w:p>
        </w:tc>
        <w:tc>
          <w:tcPr>
            <w:tcW w:type="dxa" w:w="1587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$300,000</w:t>
            </w:r>
          </w:p>
        </w:tc>
        <w:tc>
          <w:tcPr>
            <w:tcW w:type="dxa" w:w="3118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Insider Data Exfiltration</w:t>
            </w:r>
          </w:p>
        </w:tc>
        <w:tc>
          <w:tcPr>
            <w:tcW w:type="dxa" w:w="1134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$135,000</w:t>
            </w:r>
          </w:p>
        </w:tc>
      </w:tr>
      <w:tr>
        <w:tc>
          <w:tcPr>
            <w:tcW w:type="dxa" w:w="2835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Dev Lab Servers</w:t>
            </w:r>
          </w:p>
        </w:tc>
        <w:tc>
          <w:tcPr>
            <w:tcW w:type="dxa" w:w="1417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Hardware</w:t>
            </w:r>
          </w:p>
        </w:tc>
        <w:tc>
          <w:tcPr>
            <w:tcW w:type="dxa" w:w="1587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$160,000</w:t>
            </w:r>
          </w:p>
        </w:tc>
        <w:tc>
          <w:tcPr>
            <w:tcW w:type="dxa" w:w="3118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Unpatched RCE Vulnerability</w:t>
            </w:r>
          </w:p>
        </w:tc>
        <w:tc>
          <w:tcPr>
            <w:tcW w:type="dxa" w:w="1134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$72,000</w:t>
            </w:r>
          </w:p>
        </w:tc>
      </w:tr>
      <w:tr>
        <w:tc>
          <w:tcPr>
            <w:tcW w:type="dxa" w:w="2835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Backup &amp; DR System</w:t>
            </w:r>
          </w:p>
        </w:tc>
        <w:tc>
          <w:tcPr>
            <w:tcW w:type="dxa" w:w="1417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Infrastructure</w:t>
            </w:r>
          </w:p>
        </w:tc>
        <w:tc>
          <w:tcPr>
            <w:tcW w:type="dxa" w:w="1587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$120,000</w:t>
            </w:r>
          </w:p>
        </w:tc>
        <w:tc>
          <w:tcPr>
            <w:tcW w:type="dxa" w:w="3118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Backup Corruption</w:t>
            </w:r>
          </w:p>
        </w:tc>
        <w:tc>
          <w:tcPr>
            <w:tcW w:type="dxa" w:w="1134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$36,000</w:t>
            </w:r>
          </w:p>
        </w:tc>
      </w:tr>
    </w:tbl>
    <w:p/>
    <w:p>
      <w:r>
        <w:br w:type="page"/>
      </w:r>
    </w:p>
    <w:p>
      <w:pPr>
        <w:shd w:fill="1D4E89" w:val="clear"/>
        <w:spacing w:before="120" w:after="40"/>
        <w:jc w:val="left"/>
      </w:pPr>
      <w:r>
        <w:rPr>
          <w:rFonts w:ascii="Calibri" w:hAnsi="Calibri"/>
          <w:b/>
          <w:i w:val="0"/>
          <w:color w:val="D4AC0D"/>
          <w:sz w:val="26"/>
        </w:rPr>
        <w:t xml:space="preserve">  13  </w:t>
      </w:r>
      <w:r>
        <w:rPr>
          <w:rFonts w:ascii="Calibri" w:hAnsi="Calibri"/>
          <w:b w:val="0"/>
          <w:i w:val="0"/>
          <w:color w:val="7AA7D3"/>
          <w:sz w:val="26"/>
        </w:rPr>
        <w:t xml:space="preserve">│  </w:t>
      </w:r>
      <w:r>
        <w:rPr>
          <w:rFonts w:ascii="Calibri" w:hAnsi="Calibri"/>
          <w:b/>
          <w:i w:val="0"/>
          <w:color w:val="FFFFFF"/>
          <w:sz w:val="26"/>
        </w:rPr>
        <w:t>SAMPLE RISK REGISTER OUTPUT</w:t>
      </w:r>
    </w:p>
    <w:p>
      <w:pPr>
        <w:spacing w:before="40" w:after="40"/>
        <w:ind w:left="0"/>
        <w:jc w:val="both"/>
      </w:pPr>
      <w:r>
        <w:rPr>
          <w:rFonts w:ascii="Calibri" w:hAnsi="Calibri"/>
          <w:b w:val="0"/>
          <w:i w:val="0"/>
          <w:color w:val="2C3E50"/>
          <w:sz w:val="21"/>
        </w:rPr>
        <w:t>The following is a representative risk register produced by the platform after running a quantitative assessment on the built-in demo dataset. Risks are sorted by Risk Impact Rating (descending) — highest priority first.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2154"/>
            <w:shd w:fill="0F284A" w:val="clea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Asset</w:t>
            </w:r>
          </w:p>
        </w:tc>
        <w:tc>
          <w:tcPr>
            <w:tcW w:type="dxa" w:w="2551"/>
            <w:shd w:fill="0F284A" w:val="clea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Threat</w:t>
            </w:r>
          </w:p>
        </w:tc>
        <w:tc>
          <w:tcPr>
            <w:tcW w:type="dxa" w:w="680"/>
            <w:shd w:fill="0F284A" w:val="clea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RIR</w:t>
            </w:r>
          </w:p>
        </w:tc>
        <w:tc>
          <w:tcPr>
            <w:tcW w:type="dxa" w:w="1020"/>
            <w:shd w:fill="0F284A" w:val="clea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Band</w:t>
            </w:r>
          </w:p>
        </w:tc>
        <w:tc>
          <w:tcPr>
            <w:tcW w:type="dxa" w:w="1020"/>
            <w:shd w:fill="0F284A" w:val="clea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ALE ($)</w:t>
            </w:r>
          </w:p>
        </w:tc>
        <w:tc>
          <w:tcPr>
            <w:tcW w:type="dxa" w:w="1020"/>
            <w:shd w:fill="0F284A" w:val="clea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Risk Score</w:t>
            </w:r>
          </w:p>
        </w:tc>
        <w:tc>
          <w:tcPr>
            <w:tcW w:type="dxa" w:w="1020"/>
            <w:shd w:fill="0F284A" w:val="clea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CBA ($)</w:t>
            </w:r>
          </w:p>
        </w:tc>
      </w:tr>
      <w:tr>
        <w:tc>
          <w:tcPr>
            <w:tcW w:type="dxa" w:w="2154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Customer DB Server</w:t>
            </w:r>
          </w:p>
        </w:tc>
        <w:tc>
          <w:tcPr>
            <w:tcW w:type="dxa" w:w="2551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SQL Injection / Data Breach</w:t>
            </w:r>
          </w:p>
        </w:tc>
        <w:tc>
          <w:tcPr>
            <w:tcW w:type="dxa" w:w="680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152</w:t>
            </w:r>
          </w:p>
        </w:tc>
        <w:tc>
          <w:tcPr>
            <w:tcW w:type="dxa" w:w="1020"/>
            <w:shd w:fill="E67E22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HIGH</w:t>
            </w:r>
          </w:p>
        </w:tc>
        <w:tc>
          <w:tcPr>
            <w:tcW w:type="dxa" w:w="1020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408,000</w:t>
            </w:r>
          </w:p>
        </w:tc>
        <w:tc>
          <w:tcPr>
            <w:tcW w:type="dxa" w:w="1020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3.5</w:t>
            </w:r>
          </w:p>
        </w:tc>
        <w:tc>
          <w:tcPr>
            <w:tcW w:type="dxa" w:w="1020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81,600</w:t>
            </w:r>
          </w:p>
        </w:tc>
      </w:tr>
      <w:tr>
        <w:tc>
          <w:tcPr>
            <w:tcW w:type="dxa" w:w="2154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Identity Mgmt System</w:t>
            </w:r>
          </w:p>
        </w:tc>
        <w:tc>
          <w:tcPr>
            <w:tcW w:type="dxa" w:w="2551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Phishing / Credential Theft</w:t>
            </w:r>
          </w:p>
        </w:tc>
        <w:tc>
          <w:tcPr>
            <w:tcW w:type="dxa" w:w="680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140</w:t>
            </w:r>
          </w:p>
        </w:tc>
        <w:tc>
          <w:tcPr>
            <w:tcW w:type="dxa" w:w="1020"/>
            <w:shd w:fill="E67E22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HIGH</w:t>
            </w:r>
          </w:p>
        </w:tc>
        <w:tc>
          <w:tcPr>
            <w:tcW w:type="dxa" w:w="1020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126,000</w:t>
            </w:r>
          </w:p>
        </w:tc>
        <w:tc>
          <w:tcPr>
            <w:tcW w:type="dxa" w:w="1020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3.2</w:t>
            </w:r>
          </w:p>
        </w:tc>
        <w:tc>
          <w:tcPr>
            <w:tcW w:type="dxa" w:w="1020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25,200</w:t>
            </w:r>
          </w:p>
        </w:tc>
      </w:tr>
      <w:tr>
        <w:tc>
          <w:tcPr>
            <w:tcW w:type="dxa" w:w="2154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Public Web Server</w:t>
            </w:r>
          </w:p>
        </w:tc>
        <w:tc>
          <w:tcPr>
            <w:tcW w:type="dxa" w:w="2551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DDoS Attack</w:t>
            </w:r>
          </w:p>
        </w:tc>
        <w:tc>
          <w:tcPr>
            <w:tcW w:type="dxa" w:w="680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128</w:t>
            </w:r>
          </w:p>
        </w:tc>
        <w:tc>
          <w:tcPr>
            <w:tcW w:type="dxa" w:w="1020"/>
            <w:shd w:fill="E67E22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HIGH</w:t>
            </w:r>
          </w:p>
        </w:tc>
        <w:tc>
          <w:tcPr>
            <w:tcW w:type="dxa" w:w="1020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180,000</w:t>
            </w:r>
          </w:p>
        </w:tc>
        <w:tc>
          <w:tcPr>
            <w:tcW w:type="dxa" w:w="1020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3.0</w:t>
            </w:r>
          </w:p>
        </w:tc>
        <w:tc>
          <w:tcPr>
            <w:tcW w:type="dxa" w:w="1020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36,000</w:t>
            </w:r>
          </w:p>
        </w:tc>
      </w:tr>
      <w:tr>
        <w:tc>
          <w:tcPr>
            <w:tcW w:type="dxa" w:w="2154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Customer DB Server</w:t>
            </w:r>
          </w:p>
        </w:tc>
        <w:tc>
          <w:tcPr>
            <w:tcW w:type="dxa" w:w="2551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Insider Data Exfiltration</w:t>
            </w:r>
          </w:p>
        </w:tc>
        <w:tc>
          <w:tcPr>
            <w:tcW w:type="dxa" w:w="680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118</w:t>
            </w:r>
          </w:p>
        </w:tc>
        <w:tc>
          <w:tcPr>
            <w:tcW w:type="dxa" w:w="1020"/>
            <w:shd w:fill="E67E22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HIGH</w:t>
            </w:r>
          </w:p>
        </w:tc>
        <w:tc>
          <w:tcPr>
            <w:tcW w:type="dxa" w:w="1020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255,000</w:t>
            </w:r>
          </w:p>
        </w:tc>
        <w:tc>
          <w:tcPr>
            <w:tcW w:type="dxa" w:w="1020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3.1</w:t>
            </w:r>
          </w:p>
        </w:tc>
        <w:tc>
          <w:tcPr>
            <w:tcW w:type="dxa" w:w="1020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51,000</w:t>
            </w:r>
          </w:p>
        </w:tc>
      </w:tr>
      <w:tr>
        <w:tc>
          <w:tcPr>
            <w:tcW w:type="dxa" w:w="2154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Network File Storage</w:t>
            </w:r>
          </w:p>
        </w:tc>
        <w:tc>
          <w:tcPr>
            <w:tcW w:type="dxa" w:w="2551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Ransomware Encryption</w:t>
            </w:r>
          </w:p>
        </w:tc>
        <w:tc>
          <w:tcPr>
            <w:tcW w:type="dxa" w:w="680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108</w:t>
            </w:r>
          </w:p>
        </w:tc>
        <w:tc>
          <w:tcPr>
            <w:tcW w:type="dxa" w:w="1020"/>
            <w:shd w:fill="E67E22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HIGH</w:t>
            </w:r>
          </w:p>
        </w:tc>
        <w:tc>
          <w:tcPr>
            <w:tcW w:type="dxa" w:w="1020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162,000</w:t>
            </w:r>
          </w:p>
        </w:tc>
        <w:tc>
          <w:tcPr>
            <w:tcW w:type="dxa" w:w="1020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2.9</w:t>
            </w:r>
          </w:p>
        </w:tc>
        <w:tc>
          <w:tcPr>
            <w:tcW w:type="dxa" w:w="1020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32,400</w:t>
            </w:r>
          </w:p>
        </w:tc>
      </w:tr>
      <w:tr>
        <w:tc>
          <w:tcPr>
            <w:tcW w:type="dxa" w:w="2154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Email Server</w:t>
            </w:r>
          </w:p>
        </w:tc>
        <w:tc>
          <w:tcPr>
            <w:tcW w:type="dxa" w:w="2551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Email Spoofing / BEC</w:t>
            </w:r>
          </w:p>
        </w:tc>
        <w:tc>
          <w:tcPr>
            <w:tcW w:type="dxa" w:w="680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85</w:t>
            </w:r>
          </w:p>
        </w:tc>
        <w:tc>
          <w:tcPr>
            <w:tcW w:type="dxa" w:w="1020"/>
            <w:shd w:fill="D4AC0D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MEDIUM</w:t>
            </w:r>
          </w:p>
        </w:tc>
        <w:tc>
          <w:tcPr>
            <w:tcW w:type="dxa" w:w="1020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63,000</w:t>
            </w:r>
          </w:p>
        </w:tc>
        <w:tc>
          <w:tcPr>
            <w:tcW w:type="dxa" w:w="1020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2.6</w:t>
            </w:r>
          </w:p>
        </w:tc>
        <w:tc>
          <w:tcPr>
            <w:tcW w:type="dxa" w:w="1020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12,600</w:t>
            </w:r>
          </w:p>
        </w:tc>
      </w:tr>
      <w:tr>
        <w:tc>
          <w:tcPr>
            <w:tcW w:type="dxa" w:w="2154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Laptop Fleet</w:t>
            </w:r>
          </w:p>
        </w:tc>
        <w:tc>
          <w:tcPr>
            <w:tcW w:type="dxa" w:w="2551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Malware via USB Drive</w:t>
            </w:r>
          </w:p>
        </w:tc>
        <w:tc>
          <w:tcPr>
            <w:tcW w:type="dxa" w:w="680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72</w:t>
            </w:r>
          </w:p>
        </w:tc>
        <w:tc>
          <w:tcPr>
            <w:tcW w:type="dxa" w:w="1020"/>
            <w:shd w:fill="D4AC0D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MEDIUM</w:t>
            </w:r>
          </w:p>
        </w:tc>
        <w:tc>
          <w:tcPr>
            <w:tcW w:type="dxa" w:w="1020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88,000</w:t>
            </w:r>
          </w:p>
        </w:tc>
        <w:tc>
          <w:tcPr>
            <w:tcW w:type="dxa" w:w="1020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2.4</w:t>
            </w:r>
          </w:p>
        </w:tc>
        <w:tc>
          <w:tcPr>
            <w:tcW w:type="dxa" w:w="1020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17,600</w:t>
            </w:r>
          </w:p>
        </w:tc>
      </w:tr>
      <w:tr>
        <w:tc>
          <w:tcPr>
            <w:tcW w:type="dxa" w:w="2154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Dev Lab Servers</w:t>
            </w:r>
          </w:p>
        </w:tc>
        <w:tc>
          <w:tcPr>
            <w:tcW w:type="dxa" w:w="2551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Unpatched RCE Vulnerability</w:t>
            </w:r>
          </w:p>
        </w:tc>
        <w:tc>
          <w:tcPr>
            <w:tcW w:type="dxa" w:w="680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65</w:t>
            </w:r>
          </w:p>
        </w:tc>
        <w:tc>
          <w:tcPr>
            <w:tcW w:type="dxa" w:w="1020"/>
            <w:shd w:fill="D4AC0D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MEDIUM</w:t>
            </w:r>
          </w:p>
        </w:tc>
        <w:tc>
          <w:tcPr>
            <w:tcW w:type="dxa" w:w="1020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72,000</w:t>
            </w:r>
          </w:p>
        </w:tc>
        <w:tc>
          <w:tcPr>
            <w:tcW w:type="dxa" w:w="1020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2.2</w:t>
            </w:r>
          </w:p>
        </w:tc>
        <w:tc>
          <w:tcPr>
            <w:tcW w:type="dxa" w:w="1020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14,400</w:t>
            </w:r>
          </w:p>
        </w:tc>
      </w:tr>
      <w:tr>
        <w:tc>
          <w:tcPr>
            <w:tcW w:type="dxa" w:w="2154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Backup System</w:t>
            </w:r>
          </w:p>
        </w:tc>
        <w:tc>
          <w:tcPr>
            <w:tcW w:type="dxa" w:w="2551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Backup Corruption</w:t>
            </w:r>
          </w:p>
        </w:tc>
        <w:tc>
          <w:tcPr>
            <w:tcW w:type="dxa" w:w="680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38</w:t>
            </w:r>
          </w:p>
        </w:tc>
        <w:tc>
          <w:tcPr>
            <w:tcW w:type="dxa" w:w="1020"/>
            <w:shd w:fill="1E8B4C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LOW</w:t>
            </w:r>
          </w:p>
        </w:tc>
        <w:tc>
          <w:tcPr>
            <w:tcW w:type="dxa" w:w="1020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36,000</w:t>
            </w:r>
          </w:p>
        </w:tc>
        <w:tc>
          <w:tcPr>
            <w:tcW w:type="dxa" w:w="1020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1.8</w:t>
            </w:r>
          </w:p>
        </w:tc>
        <w:tc>
          <w:tcPr>
            <w:tcW w:type="dxa" w:w="1020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7,200</w:t>
            </w:r>
          </w:p>
        </w:tc>
      </w:tr>
      <w:tr>
        <w:tc>
          <w:tcPr>
            <w:tcW w:type="dxa" w:w="2154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CCTV System</w:t>
            </w:r>
          </w:p>
        </w:tc>
        <w:tc>
          <w:tcPr>
            <w:tcW w:type="dxa" w:w="2551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Physical Tampering</w:t>
            </w:r>
          </w:p>
        </w:tc>
        <w:tc>
          <w:tcPr>
            <w:tcW w:type="dxa" w:w="680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22</w:t>
            </w:r>
          </w:p>
        </w:tc>
        <w:tc>
          <w:tcPr>
            <w:tcW w:type="dxa" w:w="1020"/>
            <w:shd w:fill="1E8B4C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LOW</w:t>
            </w:r>
          </w:p>
        </w:tc>
        <w:tc>
          <w:tcPr>
            <w:tcW w:type="dxa" w:w="1020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14,000</w:t>
            </w:r>
          </w:p>
        </w:tc>
        <w:tc>
          <w:tcPr>
            <w:tcW w:type="dxa" w:w="1020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1.2</w:t>
            </w:r>
          </w:p>
        </w:tc>
        <w:tc>
          <w:tcPr>
            <w:tcW w:type="dxa" w:w="1020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2,800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B" w:val="clear"/>
            <w:tcBorders>
              <w:top w:val="single" w:sz="8" w:color="2774C2"/>
              <w:left w:val="single" w:sz="8" w:color="2774C2"/>
              <w:bottom w:val="single" w:sz="8" w:color="2774C2"/>
              <w:right w:val="single" w:sz="8" w:color="2774C2"/>
            </w:tcBorders>
          </w:tcPr>
          <w:p/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D4E89"/>
                <w:sz w:val="18"/>
              </w:rPr>
              <w:t xml:space="preserve">  TOTAL ALE (Demo Dataset)  </w:t>
            </w:r>
          </w:p>
          <w:p>
            <w:pPr>
              <w:spacing w:before="0" w:after="80"/>
              <w:ind w:left="170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 xml:space="preserve">  Sum of all Annualised Loss Expectancies across 10 assets: approximately $1,245,000/year. The platform's CBA analysis identifies $249,000 in potential annual savings through recommended NIST controls — yielding a positive cost-benefit ratio of 5:1.</w:t>
            </w:r>
          </w:p>
        </w:tc>
      </w:tr>
    </w:tbl>
    <w:p/>
    <w:p>
      <w:r>
        <w:br w:type="page"/>
      </w:r>
    </w:p>
    <w:p>
      <w:pPr>
        <w:shd w:fill="1D4E89" w:val="clear"/>
        <w:spacing w:before="120" w:after="40"/>
        <w:jc w:val="left"/>
      </w:pPr>
      <w:r>
        <w:rPr>
          <w:rFonts w:ascii="Calibri" w:hAnsi="Calibri"/>
          <w:b/>
          <w:i w:val="0"/>
          <w:color w:val="D4AC0D"/>
          <w:sz w:val="26"/>
        </w:rPr>
        <w:t xml:space="preserve">  14  </w:t>
      </w:r>
      <w:r>
        <w:rPr>
          <w:rFonts w:ascii="Calibri" w:hAnsi="Calibri"/>
          <w:b w:val="0"/>
          <w:i w:val="0"/>
          <w:color w:val="7AA7D3"/>
          <w:sz w:val="26"/>
        </w:rPr>
        <w:t xml:space="preserve">│  </w:t>
      </w:r>
      <w:r>
        <w:rPr>
          <w:rFonts w:ascii="Calibri" w:hAnsi="Calibri"/>
          <w:b/>
          <w:i w:val="0"/>
          <w:color w:val="FFFFFF"/>
          <w:sz w:val="26"/>
        </w:rPr>
        <w:t>DEPLOYMENT &amp; SCALABILITY</w:t>
      </w:r>
    </w:p>
    <w:p>
      <w:pPr>
        <w:spacing w:before="160" w:after="40"/>
        <w:pBdr>
          <w:bottom w:val="single" w:sz="4" w:space="4" w:color="2774C2"/>
        </w:pBdr>
      </w:pPr>
      <w:r>
        <w:rPr>
          <w:rFonts w:ascii="Calibri" w:hAnsi="Calibri"/>
          <w:b/>
          <w:i w:val="0"/>
          <w:color w:val="2774C2"/>
          <w:sz w:val="24"/>
        </w:rPr>
        <w:t>Deployment Options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268"/>
            <w:shd w:fill="0F284A" w:val="clear"/>
            <w:tcBorders>
              <w:bottom w:val="single" w:sz="8" w:color="2774C2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Option</w:t>
            </w:r>
          </w:p>
        </w:tc>
        <w:tc>
          <w:tcPr>
            <w:tcW w:type="dxa" w:w="3118"/>
            <w:shd w:fill="0F284A" w:val="clear"/>
            <w:tcBorders>
              <w:bottom w:val="single" w:sz="8" w:color="2774C2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Command / Method</w:t>
            </w:r>
          </w:p>
        </w:tc>
        <w:tc>
          <w:tcPr>
            <w:tcW w:type="dxa" w:w="1984"/>
            <w:shd w:fill="0F284A" w:val="clear"/>
            <w:tcBorders>
              <w:bottom w:val="single" w:sz="8" w:color="2774C2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Database</w:t>
            </w:r>
          </w:p>
        </w:tc>
        <w:tc>
          <w:tcPr>
            <w:tcW w:type="dxa" w:w="3118"/>
            <w:shd w:fill="0F284A" w:val="clear"/>
            <w:tcBorders>
              <w:bottom w:val="single" w:sz="8" w:color="2774C2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Best For</w:t>
            </w:r>
          </w:p>
        </w:tc>
      </w:tr>
      <w:tr>
        <w:tc>
          <w:tcPr>
            <w:tcW w:type="dxa" w:w="2268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Local Development</w:t>
            </w:r>
          </w:p>
        </w:tc>
        <w:tc>
          <w:tcPr>
            <w:tcW w:type="dxa" w:w="3118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streamlit run app.py</w:t>
            </w:r>
          </w:p>
        </w:tc>
        <w:tc>
          <w:tcPr>
            <w:tcW w:type="dxa" w:w="1984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Persistent local SQLite</w:t>
            </w:r>
          </w:p>
        </w:tc>
        <w:tc>
          <w:tcPr>
            <w:tcW w:type="dxa" w:w="3118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Individual demos, development</w:t>
            </w:r>
          </w:p>
        </w:tc>
      </w:tr>
      <w:tr>
        <w:tc>
          <w:tcPr>
            <w:tcW w:type="dxa" w:w="2268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Docker Dev Container</w:t>
            </w:r>
          </w:p>
        </w:tc>
        <w:tc>
          <w:tcPr>
            <w:tcW w:type="dxa" w:w="3118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.devcontainer/devcontainer.json (VS Code)</w:t>
            </w:r>
          </w:p>
        </w:tc>
        <w:tc>
          <w:tcPr>
            <w:tcW w:type="dxa" w:w="1984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Persistent volume</w:t>
            </w:r>
          </w:p>
        </w:tc>
        <w:tc>
          <w:tcPr>
            <w:tcW w:type="dxa" w:w="3118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Team development, CI/CD</w:t>
            </w:r>
          </w:p>
        </w:tc>
      </w:tr>
      <w:tr>
        <w:tc>
          <w:tcPr>
            <w:tcW w:type="dxa" w:w="2268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Streamlit Cloud</w:t>
            </w:r>
          </w:p>
        </w:tc>
        <w:tc>
          <w:tcPr>
            <w:tcW w:type="dxa" w:w="3118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Push to GitHub → share.streamlit.io</w:t>
            </w:r>
          </w:p>
        </w:tc>
        <w:tc>
          <w:tcPr>
            <w:tcW w:type="dxa" w:w="1984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Ephemeral SQLite</w:t>
            </w:r>
          </w:p>
        </w:tc>
        <w:tc>
          <w:tcPr>
            <w:tcW w:type="dxa" w:w="3118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Public demos, evaluation</w:t>
            </w:r>
          </w:p>
        </w:tc>
      </w:tr>
      <w:tr>
        <w:tc>
          <w:tcPr>
            <w:tcW w:type="dxa" w:w="2268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Self-Hosted Server</w:t>
            </w:r>
          </w:p>
        </w:tc>
        <w:tc>
          <w:tcPr>
            <w:tcW w:type="dxa" w:w="3118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gunicorn -w 4 backend.app:app</w:t>
            </w:r>
          </w:p>
        </w:tc>
        <w:tc>
          <w:tcPr>
            <w:tcW w:type="dxa" w:w="1984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Persistent / PostgreSQL</w:t>
            </w:r>
          </w:p>
        </w:tc>
        <w:tc>
          <w:tcPr>
            <w:tcW w:type="dxa" w:w="3118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Production enterprise use</w:t>
            </w:r>
          </w:p>
        </w:tc>
      </w:tr>
      <w:tr>
        <w:tc>
          <w:tcPr>
            <w:tcW w:type="dxa" w:w="2268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Cloud (AWS/GCP)</w:t>
            </w:r>
          </w:p>
        </w:tc>
        <w:tc>
          <w:tcPr>
            <w:tcW w:type="dxa" w:w="3118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Docker image → ECS/GKE</w:t>
            </w:r>
          </w:p>
        </w:tc>
        <w:tc>
          <w:tcPr>
            <w:tcW w:type="dxa" w:w="1984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AWS RDS / Cloud SQL</w:t>
            </w:r>
          </w:p>
        </w:tc>
        <w:tc>
          <w:tcPr>
            <w:tcW w:type="dxa" w:w="3118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High availability, scale</w:t>
            </w:r>
          </w:p>
        </w:tc>
      </w:tr>
    </w:tbl>
    <w:p/>
    <w:p>
      <w:pPr>
        <w:spacing w:before="160" w:after="40"/>
        <w:pBdr>
          <w:bottom w:val="single" w:sz="4" w:space="4" w:color="2774C2"/>
        </w:pBdr>
      </w:pPr>
      <w:r>
        <w:rPr>
          <w:rFonts w:ascii="Calibri" w:hAnsi="Calibri"/>
          <w:b/>
          <w:i w:val="0"/>
          <w:color w:val="2774C2"/>
          <w:sz w:val="24"/>
        </w:rPr>
        <w:t>Environment Configuration</w:t>
      </w:r>
    </w:p>
    <w:p>
      <w:pPr>
        <w:spacing w:before="40" w:after="40"/>
        <w:ind w:left="0"/>
        <w:jc w:val="both"/>
      </w:pPr>
      <w:r>
        <w:rPr>
          <w:rFonts w:ascii="Calibri" w:hAnsi="Calibri"/>
          <w:b w:val="0"/>
          <w:i w:val="0"/>
          <w:color w:val="2C3E50"/>
          <w:sz w:val="21"/>
        </w:rPr>
        <w:t>All secrets are managed via environment variables (see .env.example). No hard-coded credentials exist in the codebase. The Streamlit secrets bridge (streamlit_lib/paths.py) automatically maps st.secrets → os.environ for seamless transition between local and cloud deployment.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551"/>
            <w:shd w:fill="0F284A" w:val="clear"/>
            <w:tcBorders>
              <w:bottom w:val="single" w:sz="8" w:color="2774C2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1134"/>
            <w:shd w:fill="0F284A" w:val="clear"/>
            <w:tcBorders>
              <w:bottom w:val="single" w:sz="8" w:color="2774C2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Required</w:t>
            </w:r>
          </w:p>
        </w:tc>
        <w:tc>
          <w:tcPr>
            <w:tcW w:type="dxa" w:w="6803"/>
            <w:shd w:fill="0F284A" w:val="clear"/>
            <w:tcBorders>
              <w:bottom w:val="single" w:sz="8" w:color="2774C2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51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ANTHROPIC_API_KEY</w:t>
            </w:r>
          </w:p>
        </w:tc>
        <w:tc>
          <w:tcPr>
            <w:tcW w:type="dxa" w:w="1134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Optional</w:t>
            </w:r>
          </w:p>
        </w:tc>
        <w:tc>
          <w:tcPr>
            <w:tcW w:type="dxa" w:w="6803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Claude AI control recommendations (fallback enabled)</w:t>
            </w:r>
          </w:p>
        </w:tc>
      </w:tr>
      <w:tr>
        <w:tc>
          <w:tcPr>
            <w:tcW w:type="dxa" w:w="2551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NVD_API_KEY</w:t>
            </w:r>
          </w:p>
        </w:tc>
        <w:tc>
          <w:tcPr>
            <w:tcW w:type="dxa" w:w="1134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Optional</w:t>
            </w:r>
          </w:p>
        </w:tc>
        <w:tc>
          <w:tcPr>
            <w:tcW w:type="dxa" w:w="6803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NVD API rate limit: 5 req/30 sec → unlimited</w:t>
            </w:r>
          </w:p>
        </w:tc>
      </w:tr>
      <w:tr>
        <w:tc>
          <w:tcPr>
            <w:tcW w:type="dxa" w:w="2551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DATABASE_PATH</w:t>
            </w:r>
          </w:p>
        </w:tc>
        <w:tc>
          <w:tcPr>
            <w:tcW w:type="dxa" w:w="1134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Optional</w:t>
            </w:r>
          </w:p>
        </w:tc>
        <w:tc>
          <w:tcPr>
            <w:tcW w:type="dxa" w:w="6803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Custom SQLite path (default: backend/database/risk_platform.db)</w:t>
            </w:r>
          </w:p>
        </w:tc>
      </w:tr>
      <w:tr>
        <w:tc>
          <w:tcPr>
            <w:tcW w:type="dxa" w:w="2551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FLASK_SECRET_KEY</w:t>
            </w:r>
          </w:p>
        </w:tc>
        <w:tc>
          <w:tcPr>
            <w:tcW w:type="dxa" w:w="1134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Optional</w:t>
            </w:r>
          </w:p>
        </w:tc>
        <w:tc>
          <w:tcPr>
            <w:tcW w:type="dxa" w:w="6803"/>
            <w:shd w:fill="FFFF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Flask session signing (only if REST API used)</w:t>
            </w:r>
          </w:p>
        </w:tc>
      </w:tr>
      <w:tr>
        <w:tc>
          <w:tcPr>
            <w:tcW w:type="dxa" w:w="2551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FLASK_ENV</w:t>
            </w:r>
          </w:p>
        </w:tc>
        <w:tc>
          <w:tcPr>
            <w:tcW w:type="dxa" w:w="1134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Optional</w:t>
            </w:r>
          </w:p>
        </w:tc>
        <w:tc>
          <w:tcPr>
            <w:tcW w:type="dxa" w:w="6803"/>
            <w:shd w:fill="F4F8FF" w:val="clear"/>
            <w:tcBorders>
              <w:bottom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8"/>
              </w:rPr>
              <w:t>production / development (Flask only)</w:t>
            </w:r>
          </w:p>
        </w:tc>
      </w:tr>
    </w:tbl>
    <w:p/>
    <w:p>
      <w:r>
        <w:br w:type="page"/>
      </w:r>
    </w:p>
    <w:p>
      <w:pPr>
        <w:shd w:fill="1D4E89" w:val="clear"/>
        <w:spacing w:before="120" w:after="40"/>
        <w:jc w:val="left"/>
      </w:pPr>
      <w:r>
        <w:rPr>
          <w:rFonts w:ascii="Calibri" w:hAnsi="Calibri"/>
          <w:b/>
          <w:i w:val="0"/>
          <w:color w:val="D4AC0D"/>
          <w:sz w:val="26"/>
        </w:rPr>
        <w:t xml:space="preserve">  15  </w:t>
      </w:r>
      <w:r>
        <w:rPr>
          <w:rFonts w:ascii="Calibri" w:hAnsi="Calibri"/>
          <w:b w:val="0"/>
          <w:i w:val="0"/>
          <w:color w:val="7AA7D3"/>
          <w:sz w:val="26"/>
        </w:rPr>
        <w:t xml:space="preserve">│  </w:t>
      </w:r>
      <w:r>
        <w:rPr>
          <w:rFonts w:ascii="Calibri" w:hAnsi="Calibri"/>
          <w:b/>
          <w:i w:val="0"/>
          <w:color w:val="FFFFFF"/>
          <w:sz w:val="26"/>
        </w:rPr>
        <w:t>ACADEMIC REFERENCES</w:t>
      </w:r>
    </w:p>
    <w:p>
      <w:pPr>
        <w:spacing w:before="80" w:after="40"/>
        <w:ind w:left="454" w:hanging="454"/>
      </w:pPr>
      <w:r>
        <w:rPr>
          <w:rFonts w:ascii="Calibri" w:hAnsi="Calibri"/>
          <w:b/>
          <w:i w:val="0"/>
          <w:color w:val="2774C2"/>
          <w:sz w:val="20"/>
        </w:rPr>
        <w:t xml:space="preserve">[1]  </w:t>
      </w:r>
      <w:r>
        <w:rPr>
          <w:rFonts w:ascii="Calibri" w:hAnsi="Calibri"/>
          <w:b w:val="0"/>
          <w:i w:val="0"/>
          <w:color w:val="2C3E50"/>
          <w:sz w:val="20"/>
        </w:rPr>
        <w:t xml:space="preserve">Rahman, M. M., et al. (2024).  </w:t>
      </w:r>
      <w:r>
        <w:rPr>
          <w:rFonts w:ascii="Calibri" w:hAnsi="Calibri"/>
          <w:b/>
          <w:i w:val="0"/>
          <w:color w:val="0F284A"/>
          <w:sz w:val="20"/>
        </w:rPr>
        <w:t xml:space="preserve">AssessITS: Automated Information Security Threat Assessment.  </w:t>
      </w:r>
      <w:r>
        <w:rPr>
          <w:rFonts w:ascii="Calibri" w:hAnsi="Calibri"/>
          <w:b w:val="0"/>
          <w:i/>
          <w:color w:val="556677"/>
          <w:sz w:val="20"/>
        </w:rPr>
        <w:t>arXiv preprint arXiv:2410.01750. https://arxiv.org/abs/2410.01750</w:t>
      </w:r>
    </w:p>
    <w:p>
      <w:pPr>
        <w:spacing w:before="80" w:after="40"/>
        <w:ind w:left="454" w:hanging="454"/>
      </w:pPr>
      <w:r>
        <w:rPr>
          <w:rFonts w:ascii="Calibri" w:hAnsi="Calibri"/>
          <w:b/>
          <w:i w:val="0"/>
          <w:color w:val="2774C2"/>
          <w:sz w:val="20"/>
        </w:rPr>
        <w:t xml:space="preserve">[2]  </w:t>
      </w:r>
      <w:r>
        <w:rPr>
          <w:rFonts w:ascii="Calibri" w:hAnsi="Calibri"/>
          <w:b w:val="0"/>
          <w:i w:val="0"/>
          <w:color w:val="2C3E50"/>
          <w:sz w:val="20"/>
        </w:rPr>
        <w:t xml:space="preserve">NIST. (2012).  </w:t>
      </w:r>
      <w:r>
        <w:rPr>
          <w:rFonts w:ascii="Calibri" w:hAnsi="Calibri"/>
          <w:b/>
          <w:i w:val="0"/>
          <w:color w:val="0F284A"/>
          <w:sz w:val="20"/>
        </w:rPr>
        <w:t xml:space="preserve">Special Publication 800-30 Rev. 1: Guide for Conducting Risk Assessments.  </w:t>
      </w:r>
      <w:r>
        <w:rPr>
          <w:rFonts w:ascii="Calibri" w:hAnsi="Calibri"/>
          <w:b w:val="0"/>
          <w:i/>
          <w:color w:val="556677"/>
          <w:sz w:val="20"/>
        </w:rPr>
        <w:t>National Institute of Standards and Technology, Gaithersburg, MD.</w:t>
      </w:r>
    </w:p>
    <w:p>
      <w:pPr>
        <w:spacing w:before="80" w:after="40"/>
        <w:ind w:left="454" w:hanging="454"/>
      </w:pPr>
      <w:r>
        <w:rPr>
          <w:rFonts w:ascii="Calibri" w:hAnsi="Calibri"/>
          <w:b/>
          <w:i w:val="0"/>
          <w:color w:val="2774C2"/>
          <w:sz w:val="20"/>
        </w:rPr>
        <w:t xml:space="preserve">[3]  </w:t>
      </w:r>
      <w:r>
        <w:rPr>
          <w:rFonts w:ascii="Calibri" w:hAnsi="Calibri"/>
          <w:b w:val="0"/>
          <w:i w:val="0"/>
          <w:color w:val="2C3E50"/>
          <w:sz w:val="20"/>
        </w:rPr>
        <w:t xml:space="preserve">ISO/IEC. (2022).  </w:t>
      </w:r>
      <w:r>
        <w:rPr>
          <w:rFonts w:ascii="Calibri" w:hAnsi="Calibri"/>
          <w:b/>
          <w:i w:val="0"/>
          <w:color w:val="0F284A"/>
          <w:sz w:val="20"/>
        </w:rPr>
        <w:t xml:space="preserve">ISO/IEC 27001:2022 — Information Security, Cybersecurity and Privacy Protection.  </w:t>
      </w:r>
      <w:r>
        <w:rPr>
          <w:rFonts w:ascii="Calibri" w:hAnsi="Calibri"/>
          <w:b w:val="0"/>
          <w:i/>
          <w:color w:val="556677"/>
          <w:sz w:val="20"/>
        </w:rPr>
        <w:t>International Organization for Standardization, Geneva.</w:t>
      </w:r>
    </w:p>
    <w:p>
      <w:pPr>
        <w:spacing w:before="80" w:after="40"/>
        <w:ind w:left="454" w:hanging="454"/>
      </w:pPr>
      <w:r>
        <w:rPr>
          <w:rFonts w:ascii="Calibri" w:hAnsi="Calibri"/>
          <w:b/>
          <w:i w:val="0"/>
          <w:color w:val="2774C2"/>
          <w:sz w:val="20"/>
        </w:rPr>
        <w:t xml:space="preserve">[4]  </w:t>
      </w:r>
      <w:r>
        <w:rPr>
          <w:rFonts w:ascii="Calibri" w:hAnsi="Calibri"/>
          <w:b w:val="0"/>
          <w:i w:val="0"/>
          <w:color w:val="2C3E50"/>
          <w:sz w:val="20"/>
        </w:rPr>
        <w:t xml:space="preserve">NIST. (2020).  </w:t>
      </w:r>
      <w:r>
        <w:rPr>
          <w:rFonts w:ascii="Calibri" w:hAnsi="Calibri"/>
          <w:b/>
          <w:i w:val="0"/>
          <w:color w:val="0F284A"/>
          <w:sz w:val="20"/>
        </w:rPr>
        <w:t xml:space="preserve">Special Publication 800-53 Rev. 5: Security and Privacy Controls for Information Systems.  </w:t>
      </w:r>
      <w:r>
        <w:rPr>
          <w:rFonts w:ascii="Calibri" w:hAnsi="Calibri"/>
          <w:b w:val="0"/>
          <w:i/>
          <w:color w:val="556677"/>
          <w:sz w:val="20"/>
        </w:rPr>
        <w:t>National Institute of Standards and Technology, Gaithersburg, MD.</w:t>
      </w:r>
    </w:p>
    <w:p>
      <w:pPr>
        <w:spacing w:before="80" w:after="40"/>
        <w:ind w:left="454" w:hanging="454"/>
      </w:pPr>
      <w:r>
        <w:rPr>
          <w:rFonts w:ascii="Calibri" w:hAnsi="Calibri"/>
          <w:b/>
          <w:i w:val="0"/>
          <w:color w:val="2774C2"/>
          <w:sz w:val="20"/>
        </w:rPr>
        <w:t xml:space="preserve">[5]  </w:t>
      </w:r>
      <w:r>
        <w:rPr>
          <w:rFonts w:ascii="Calibri" w:hAnsi="Calibri"/>
          <w:b w:val="0"/>
          <w:i w:val="0"/>
          <w:color w:val="2C3E50"/>
          <w:sz w:val="20"/>
        </w:rPr>
        <w:t xml:space="preserve">NIST. (2024).  </w:t>
      </w:r>
      <w:r>
        <w:rPr>
          <w:rFonts w:ascii="Calibri" w:hAnsi="Calibri"/>
          <w:b/>
          <w:i w:val="0"/>
          <w:color w:val="0F284A"/>
          <w:sz w:val="20"/>
        </w:rPr>
        <w:t xml:space="preserve">National Vulnerability Database (NVD) API v2.0.  </w:t>
      </w:r>
      <w:r>
        <w:rPr>
          <w:rFonts w:ascii="Calibri" w:hAnsi="Calibri"/>
          <w:b w:val="0"/>
          <w:i/>
          <w:color w:val="556677"/>
          <w:sz w:val="20"/>
        </w:rPr>
        <w:t>https://nvd.nist.gov/developers — Accessed June 2026.</w:t>
      </w:r>
    </w:p>
    <w:p>
      <w:pPr>
        <w:spacing w:before="80" w:after="40"/>
        <w:ind w:left="454" w:hanging="454"/>
      </w:pPr>
      <w:r>
        <w:rPr>
          <w:rFonts w:ascii="Calibri" w:hAnsi="Calibri"/>
          <w:b/>
          <w:i w:val="0"/>
          <w:color w:val="2774C2"/>
          <w:sz w:val="20"/>
        </w:rPr>
        <w:t xml:space="preserve">[6]  </w:t>
      </w:r>
      <w:r>
        <w:rPr>
          <w:rFonts w:ascii="Calibri" w:hAnsi="Calibri"/>
          <w:b w:val="0"/>
          <w:i w:val="0"/>
          <w:color w:val="2C3E50"/>
          <w:sz w:val="20"/>
        </w:rPr>
        <w:t xml:space="preserve">Anthropic. (2024).  </w:t>
      </w:r>
      <w:r>
        <w:rPr>
          <w:rFonts w:ascii="Calibri" w:hAnsi="Calibri"/>
          <w:b/>
          <w:i w:val="0"/>
          <w:color w:val="0F284A"/>
          <w:sz w:val="20"/>
        </w:rPr>
        <w:t xml:space="preserve">Claude API Documentation: claude-haiku-4-5.  </w:t>
      </w:r>
      <w:r>
        <w:rPr>
          <w:rFonts w:ascii="Calibri" w:hAnsi="Calibri"/>
          <w:b w:val="0"/>
          <w:i/>
          <w:color w:val="556677"/>
          <w:sz w:val="20"/>
        </w:rPr>
        <w:t>https://docs.anthropic.com — Accessed June 2026.</w:t>
      </w:r>
    </w:p>
    <w:p>
      <w:pPr>
        <w:spacing w:before="80" w:after="40"/>
        <w:ind w:left="454" w:hanging="454"/>
      </w:pPr>
      <w:r>
        <w:rPr>
          <w:rFonts w:ascii="Calibri" w:hAnsi="Calibri"/>
          <w:b/>
          <w:i w:val="0"/>
          <w:color w:val="2774C2"/>
          <w:sz w:val="20"/>
        </w:rPr>
        <w:t xml:space="preserve">[7]  </w:t>
      </w:r>
      <w:r>
        <w:rPr>
          <w:rFonts w:ascii="Calibri" w:hAnsi="Calibri"/>
          <w:b w:val="0"/>
          <w:i w:val="0"/>
          <w:color w:val="2C3E50"/>
          <w:sz w:val="20"/>
        </w:rPr>
        <w:t xml:space="preserve">Streamlit Inc. (2024).  </w:t>
      </w:r>
      <w:r>
        <w:rPr>
          <w:rFonts w:ascii="Calibri" w:hAnsi="Calibri"/>
          <w:b/>
          <w:i w:val="0"/>
          <w:color w:val="0F284A"/>
          <w:sz w:val="20"/>
        </w:rPr>
        <w:t xml:space="preserve">Streamlit: The Fastest Way to Build Data Apps.  </w:t>
      </w:r>
      <w:r>
        <w:rPr>
          <w:rFonts w:ascii="Calibri" w:hAnsi="Calibri"/>
          <w:b w:val="0"/>
          <w:i/>
          <w:color w:val="556677"/>
          <w:sz w:val="20"/>
        </w:rPr>
        <w:t>https://streamlit.io — v1.28+</w:t>
      </w:r>
    </w:p>
    <w:p/>
    <w:p>
      <w:pPr>
        <w:shd w:fill="0F284A" w:val="clear"/>
        <w:spacing w:before="160" w:after="160"/>
        <w:jc w:val="center"/>
      </w:pPr>
      <w:r>
        <w:rPr>
          <w:rFonts w:ascii="Calibri" w:hAnsi="Calibri"/>
          <w:b w:val="0"/>
          <w:i w:val="0"/>
          <w:color w:val="7AA7D3"/>
          <w:sz w:val="18"/>
        </w:rPr>
        <w:t xml:space="preserve">Automated Information Security Risk Assessment Platform  ·  </w:t>
      </w:r>
      <w:r>
        <w:rPr>
          <w:rFonts w:ascii="Calibri" w:hAnsi="Calibri"/>
          <w:b/>
          <w:i w:val="0"/>
          <w:color w:val="FFFFFF"/>
          <w:sz w:val="18"/>
        </w:rPr>
        <w:t xml:space="preserve">UMT Capstone 2026  ·  </w:t>
      </w:r>
      <w:r>
        <w:rPr>
          <w:rFonts w:ascii="Calibri" w:hAnsi="Calibri"/>
          <w:b w:val="0"/>
          <w:i w:val="0"/>
          <w:color w:val="7AA7D3"/>
          <w:sz w:val="18"/>
        </w:rPr>
        <w:t>NIST SP 800-30  ·  AssessITS  ·  ISO/IEC 27001:2022</w:t>
      </w:r>
    </w:p>
    <w:p>
      <w:pPr>
        <w:shd w:fill="2774C2" w:val="clear"/>
        <w:spacing w:before="0" w:after="0"/>
      </w:pPr>
      <w:r>
        <w:rPr>
          <w:rFonts w:ascii="Calibri" w:hAnsi="Calibri"/>
          <w:b w:val="0"/>
          <w:i w:val="0"/>
          <w:color w:val="FFFFFF"/>
          <w:sz w:val="8"/>
        </w:rPr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