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das imagens e elementos usados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Imagem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NAO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https://www.japanhousesp.com.br/sites/japanhouse.com.saopaulo/files/2021-01/robo_1080_port.png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 do python: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https://didatica.tech/wp-content/uploads/2020/05/linguagem-python.png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 do BERT:</w:t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https://aip.media/wp-content/uploads/2019/11/Google_BERT_v1.jpg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Montador:</w:t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CANVA e uso de elemento Talking with Speech Bubble Flat Style.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panhousesp.com.br/sites/japanhouse.com.saopaulo/files/2021-01/robo_1080_port.png" TargetMode="External"/><Relationship Id="rId7" Type="http://schemas.openxmlformats.org/officeDocument/2006/relationships/hyperlink" Target="https://didatica.tech/wp-content/uploads/2020/05/linguagem-python.png" TargetMode="External"/><Relationship Id="rId8" Type="http://schemas.openxmlformats.org/officeDocument/2006/relationships/hyperlink" Target="https://aip.media/wp-content/uploads/2019/11/Google_BERT_v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