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4110"/>
      </w:tblGrid>
      <w:tr>
        <w:trPr/>
        <w:tc>
          <w:tcPr>
            <w:tcW w:w="5637" w:type="dxa"/>
            <w:tcBorders/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408" w:leader="none"/>
                <w:tab w:val="right" w:pos="9637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>
            <w:pPr>
              <w:pStyle w:val="Normal"/>
              <w:keepNext w:val="true"/>
              <w:keepLines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408" w:leader="none"/>
                <w:tab w:val="right" w:pos="9637" w:leader="none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№1</w:t>
            </w:r>
          </w:p>
          <w:p>
            <w:pPr>
              <w:pStyle w:val="Normal"/>
              <w:keepNext w:val="true"/>
              <w:keepLines/>
              <w:jc w:val="righ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5637" w:type="dxa"/>
            <w:tcBorders/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408" w:leader="none"/>
                <w:tab w:val="left" w:pos="8780" w:leader="none"/>
              </w:tabs>
              <w:rPr/>
            </w:pPr>
            <w:r>
              <w:rPr>
                <w:sz w:val="20"/>
                <w:szCs w:val="20"/>
              </w:rPr>
              <w:t>Директор технического заказчика ______________</w:t>
            </w:r>
          </w:p>
          <w:p>
            <w:pPr>
              <w:pStyle w:val="Normal"/>
              <w:keepNext w:val="true"/>
              <w:keepLines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keepNext w:val="true"/>
              <w:keepLines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 договору подряда № _____________</w:t>
            </w:r>
          </w:p>
          <w:p>
            <w:pPr>
              <w:pStyle w:val="Normal"/>
              <w:keepNext w:val="true"/>
              <w:keepLines/>
              <w:jc w:val="righ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5637" w:type="dxa"/>
            <w:tcBorders/>
          </w:tcPr>
          <w:p>
            <w:pPr>
              <w:pStyle w:val="Normal"/>
              <w:keepNext w:val="true"/>
              <w:keepLines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 «___» __________202   г.</w:t>
            </w:r>
          </w:p>
        </w:tc>
        <w:tc>
          <w:tcPr>
            <w:tcW w:w="4110" w:type="dxa"/>
            <w:tcBorders/>
          </w:tcPr>
          <w:p>
            <w:pPr>
              <w:pStyle w:val="Normal"/>
              <w:keepNext w:val="true"/>
              <w:keepLines/>
              <w:jc w:val="right"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 «___» __________20__г.</w:t>
            </w:r>
          </w:p>
        </w:tc>
      </w:tr>
    </w:tbl>
    <w:p>
      <w:pPr>
        <w:pStyle w:val="Normal"/>
        <w:keepNext w:val="true"/>
        <w:keepLines/>
        <w:jc w:val="center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</w:r>
    </w:p>
    <w:p>
      <w:pPr>
        <w:pStyle w:val="Normal"/>
        <w:keepNext w:val="true"/>
        <w:keepLines/>
        <w:jc w:val="center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</w:r>
    </w:p>
    <w:p>
      <w:pPr>
        <w:pStyle w:val="Normal"/>
        <w:keepNext w:val="true"/>
        <w:keepLines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ТЕХНИЧЕСКОЕ ЗАДАНИЕ</w:t>
      </w:r>
    </w:p>
    <w:p>
      <w:pPr>
        <w:pStyle w:val="Normal"/>
        <w:keepNext w:val="true"/>
        <w:keepLines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910"/>
      </w:tblGrid>
      <w:tr>
        <w:trPr>
          <w:trHeight w:val="319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выполнение работ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выполнение работ по черновой отделке (1 этап работ) и чистовой отделке (2 этап работ) внутренних помещений</w:t>
              <w:tab/>
              <w:tab/>
              <w:tab/>
            </w:r>
          </w:p>
        </w:tc>
      </w:tr>
      <w:tr>
        <w:trPr>
          <w:trHeight w:val="848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комплекс с объектами обслуживания населения. Район «Юнтолово». Квартал 35. Этап 1.2. Корпус 8 - Жилой дом.</w:t>
            </w:r>
          </w:p>
        </w:tc>
      </w:tr>
      <w:tr>
        <w:trPr>
          <w:trHeight w:val="599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Санкт-Петербург, 3-я Конная Лахта, участок 9, (северо-восточнее дома 45, Литера Д по 3-ей Конной Лахте)</w:t>
            </w:r>
          </w:p>
        </w:tc>
      </w:tr>
    </w:tbl>
    <w:p>
      <w:pPr>
        <w:pStyle w:val="Normal"/>
        <w:keepNext w:val="true"/>
        <w:keepLines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09"/>
        <w:gridCol w:w="6910"/>
      </w:tblGrid>
      <w:tr>
        <w:trPr>
          <w:tblHeader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Содержание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Основание для выполнения </w:t>
            </w:r>
          </w:p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Разрешение на строительство № 78-003-0510-2021 от 07 июня 2021 г, действующее до 30 июня 2026 г.</w:t>
            </w:r>
          </w:p>
        </w:tc>
      </w:tr>
      <w:tr>
        <w:trPr>
          <w:trHeight w:val="27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работ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Строительство</w:t>
            </w:r>
          </w:p>
        </w:tc>
      </w:tr>
      <w:tr>
        <w:trPr>
          <w:trHeight w:val="283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Организатор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/>
            </w:pPr>
            <w:r>
              <w:rPr>
                <w:sz w:val="20"/>
                <w:szCs w:val="20"/>
              </w:rPr>
              <w:t>ООО «Главстрой-СПб специализированный застройщик»</w:t>
            </w:r>
          </w:p>
        </w:tc>
      </w:tr>
      <w:tr>
        <w:trPr>
          <w:trHeight w:val="754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Исходные данные, предоставляемые Заказчиком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коммерческого предложения;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РД </w:t>
            </w:r>
            <w:r>
              <w:rPr>
                <w:i/>
                <w:sz w:val="20"/>
                <w:szCs w:val="20"/>
              </w:rPr>
              <w:t>Ю35-9_К7.К8.К9_АРД</w:t>
            </w:r>
          </w:p>
          <w:p>
            <w:pPr>
              <w:pStyle w:val="Normal"/>
              <w:ind w:left="720" w:right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Ю35-9_ПБ.С_АР.ОТД;</w:t>
            </w:r>
          </w:p>
          <w:p>
            <w:pPr>
              <w:pStyle w:val="Normal"/>
              <w:ind w:left="720" w:right="0"/>
              <w:rPr/>
            </w:pPr>
            <w:r>
              <w:rPr>
                <w:i/>
                <w:sz w:val="20"/>
                <w:szCs w:val="20"/>
              </w:rPr>
              <w:t>Ю35-9_ К</w:t>
            </w:r>
            <w:r>
              <w:rPr>
                <w:i/>
                <w:sz w:val="20"/>
                <w:szCs w:val="20"/>
                <w:lang w:val="en-US"/>
              </w:rPr>
              <w:t>8</w:t>
            </w:r>
            <w:r>
              <w:rPr>
                <w:i/>
                <w:sz w:val="20"/>
                <w:szCs w:val="20"/>
              </w:rPr>
              <w:t>_АР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График производства работ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Заказчика по общестроительным и отделочным работам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 по приемке, складированию, и хранению строительных материалов на объектах ООО «СМУ Юнтолово».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 по сбору, хранению, переработке и утилизации строительных отходов на объектах ООО «СМУ-Юнтолово»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 отделки «Комфорт».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Заказчика к качеству готовых квартир 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Заказчика по общестроительным и отделочным работам.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7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Функциональные, технические и качественные характеристики, эксплуатационные характеристики объекта (при необходимости)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autoSpaceDE w:val="false"/>
              <w:jc w:val="both"/>
              <w:rPr/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Корпус 8 представляет собой односекционный жилой дом (22 надземных жилых этажа) из монолитного железобетона и многослойных ограждающих конструкций, прямоугольной конфигурации в плане, с плоской кровлей, вентиляцией через вентиляционные шахты, внутренним водостоком, с системами отопления, электроснабжения, канализации и водопровода.</w:t>
            </w:r>
          </w:p>
          <w:p>
            <w:pPr>
              <w:pStyle w:val="Normal"/>
              <w:keepNext w:val="true"/>
              <w:keepLines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Здание имеет максимальную этажность 22 этажа, высота от земли до парапета ЛЛУ - 71,4 м. Отметка земли -0,900 м</w:t>
            </w:r>
          </w:p>
        </w:tc>
      </w:tr>
      <w:tr>
        <w:trPr>
          <w:trHeight w:val="800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основных мероприятий, подлежащих исполнению Подрядчиком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работах руководствоваться нормами в части касающейся выполнения порученных видов работ: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СНиП 12-03-2001 «Безопасность труда в строительстве».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71.13330.2017 «Отделочные и изоляционные покрытия»;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МДС 12-30.2006 «МДС по нормам, правилам и приемам выполнения отделочных работ»;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Правила противопожарного режима. Постановление правительства РФ от 16.09.2020г. № 1479;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2.13130.2020 Системы противопожарной защиты. Обеспечение огнестойкости объектов защиты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28.13330.2017 "СНиП 2.03.11-85 Защита строительных конструкций от коррозии" (с изменениями N 1, N 2)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29.13330.2011 "СНиП 2.03.13-88 Полы" (с изм. N 1)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48.13330.2019 "СНиП 12-01-2004 Организация строительства"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50.13330.2024 «Тепловая защита здания».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70.13330.2012 "СНиП 3.03.01-87 Несущие и ограждающие конструкции" (с изменениями N 1, N 3, N 4)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72.13330.2016 "СНиП 3.04.03-85 Защита строительных конструкций и сооружений от коррозии" (с изменением N 1)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163.1325800.2014 Конструкции с применением гипсокартонных и гипсоволокнистых листов. Правила проектирования и монтажа</w:t>
            </w:r>
          </w:p>
          <w:p>
            <w:pPr>
              <w:pStyle w:val="Normal"/>
              <w:keepNext w:val="true"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 xml:space="preserve">СП 293.1325800.2017 Системы фасадные теплоизоляционные композиционные с наружными штукатурными слоями. Правила проектирования и производства работ (с изменением N 1); </w:t>
            </w:r>
          </w:p>
          <w:p>
            <w:pPr>
              <w:pStyle w:val="Normal"/>
              <w:keepNext w:val="true"/>
              <w:keepLines/>
              <w:ind w:firstLine="43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СП 2.2.3670-20 "Санитарно-эпидемиологические требования к условиям труда";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keepNext w:val="true"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napToGrid w:val="false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выполнению строительно-монтажных работ.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требования учтены в стоимости работ.</w:t>
            </w:r>
          </w:p>
          <w:p>
            <w:pPr>
              <w:pStyle w:val="Normal"/>
              <w:keepNext w:val="true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Необходимо выполнить полный комплекс отделочных работ (черновых и чистовых) в жилых помещениях, МОП, в подвале и на технических этажах с установкой всех дверей (с наличниками), устройством дверных и оконных откосов и зашивкой ГКЛВ по утеплителю, штукатуркой по утеплителю, окраской металлических конструкций, отделкой финишными слоями, устройством полов, зашивкой стояков гипсокартонными листами влагостойкими с установкой ревизионных лючков. Выполнить мероприятия для обеспечения доступности маломобильных групп населения.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обязан выполнять стандарты: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Стандарт по приемке, складированию, и хранению строительных материалов на объектах ООО «СМУ Юнтолово».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Стандарт по сбору, хранению, переработки и утилизации строительных отходов на объектах ООО «СМУ-Юнтолово»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Стандарт отделки «комфорт»;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Требования Заказчика по общестроительным и отделочным работам.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Выполнение работ производится в соответствии с переданной Подрядчику Рабочей документацией (в том числе измененной или дополнительной), требованиями законодательства, действующего на территории Российской Федерации и Санкт-Петербурга, в том числе c действующими правовыми и техническими нормами (СП, СНиП, ГОСТ, СанПиН, ППб, НПб и пр.), условиями Договора.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Подрядчик обязан обеспечить необходимый температурно-влажностный режим в помещениях в соответствии с требованиями СП71.13330.2017. Смонтировать временные двери и зашивки. После завершения работ, демонтировать временные заполнения, сдать их генподрядчику и перевезти в места им указанные.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централизованного отопления не является причиной остановки работ, листом 1 «Общие данные»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выборе отделочных материалов руководствоваться стандартом отделки квартир вариант «Комфорт».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 закупкой материалов необходимо руководствоваться чертежами раздела РД и предварительно согласовать с Генпроектировщиком.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фактические расходы материалов, по мнению Подрядчика, превышают расходы, указанные в ФКП, а также отсутствуют сопутствующие материалы, дополнительные затраты учесть в стоимости работ.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Устройство полов производить после завершения всех монтажных работ по прокладке инженерных коммуникаций и финишной заделки инженерных отверстий.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местах примыкания пола к стенам и инженерным коммуникациям гидроизоляцию заводить на вертикальные поверхности на высоту 300 мм. Обеспечить непрерывность и тщательную промазку стыков гидроизоляции в местах перехода к вертикальным поверхностям.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Звукоизоляцию заводить на стены на всю толщину конструкции пола.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В помещениях с окрашенными полами примыкающие поверхности стен окрасить на высоту 200 мм от уровня чистого пола.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помещениях входных групп, на путях эвакуации не допускается применять материалы с более высокой пожарной опасностью, чем: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КМ1 (Г1, В1, Д2, Т2) – для отделки стен, потолков и заполнения подвесных потолков в вестибюлях, лестничных клетках, лифтовых холлах;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КМ2 (Г1, В2, Д2, Т2) – для отделки стен, потолков и заполнения подвесных потолков в общих коридорах;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КМ2 (Г1, РП1, Д2, Т2) – для покрытий пола в вестибюлях, лестничных клетках, лифтовых холлах;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КМ3 (Г2, Д3, Т2, РП2) – для покрытия пола в общих коридорах.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Каркасы подвесных потолков на путях эвакуации следует выполнять из негорючих материалов. На внешние углы перед оштукатуриванием стен установить алюминиевый перфорированный уголок для защиты от механических повреждений.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начала выполнения заказа на изготовление дверей предприятие-поставщик обязано уточнить размеры по месту (после устройства стяжек, с учетом толщины финишной отделки) и согласовать с Генпроектировщиком техническую документацию.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металлические двери в квартиру 1010х2100(h)мм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Стальная, внутренняя, однопольная, глухая, с порогом, с замком, группа дверного блока - В, число циклов безотказной эксплуатации - не менее 50000, класс прочности - М2 (ГОСТ 31173-2016).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Толщина металлических листов с обеих сторон 1,4 мм;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Полотно - от 50 мм, коробка - от 90 мм;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Наполнитель - минвата;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- 2 контура уплотнения двери;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Внешнее покрытие двери - декоративная МДФ панель, цвет согласно дизайн-проекту МОП;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Внутреннее покрытие двери - МДФ панель толщ. 6-8 мм. Цвет в тон ламината и межкомнатных дверей - Дуб Шале Графит, поверхность гладкая, текстура "Дуб темный";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- 2 замка (цилиндровый перепрограммируемый и сувальдный);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Глазок, угол обзора 160 градусов;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Ручка в комплекте (можно в замке);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Защелка-засов (можно в замке);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Петли - не менее 2 шт., конструктив-подшипники, угол открывания 180 градусов;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Противосъемные штыри - 4 шт.;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Порожек (МГН) - не выше 14 мм;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Марки и артикулы дверей согласовать с Заказчиком.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b/>
                <w:sz w:val="20"/>
                <w:szCs w:val="20"/>
              </w:rPr>
              <w:t>Межкомнатные деревянные одностворчатые двери 910х2070(h)мм</w:t>
            </w:r>
            <w:r>
              <w:rPr>
                <w:sz w:val="20"/>
                <w:szCs w:val="20"/>
              </w:rPr>
              <w:t xml:space="preserve">, с остекленнием и без, класс прочности Мд1, число циклов безотказной эксплуатации - не менее 20000 (ГОСТ 475-2016), с защелкой.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Дверное полотно: толщина 40 мм, материал - царговая, МДФ с покрытием "экошпон" (ПВХ), цвет "Дуб Шале Графит" ("Ильм Европейский"), с вертикальным/горизонтальный расположением волокон согласно РД;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Остекление - стеклянные вставки горизонтальные, матовые. Размер согласовывается с ДМ при выборе образца.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 xml:space="preserve">- Комплект коробки: 32x70(80, 90) мм с уплотнителем, материал - МДФ с покрытием "экошпон" (ПВХ), цвет "Дуб Шале Графит" ("Ильм Европейский"), с вертикальным/горизонтальный расположением волокон согласно РД;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Наличник МДФ прямой, телескопический 70x25x2150 мм, 70x50x2150, угол стыковки 90 град., добор при необходимости;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Замок с защелкой, ответная часть замка;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- 2 петли накладные, цвет - хром матовый;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Ручка - минималистичного дизайна, прямоугольной формы, цвет "сатинированная сталь"/"матовый хром";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Завертка минималистичного дизайна, цвет "сатинированная сталь"/"матовый хром".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Ограничитель дверей - напольный цилиндрический с прорезиненной вставкой, цвет - "хром матовый";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b/>
                <w:sz w:val="20"/>
                <w:szCs w:val="20"/>
              </w:rPr>
              <w:t>Межкомнатные деревянные одностворчатые двери 810х2070(h)мм</w:t>
            </w:r>
            <w:r>
              <w:rPr>
                <w:sz w:val="20"/>
                <w:szCs w:val="20"/>
              </w:rPr>
              <w:t xml:space="preserve"> Деревянная, внутренняя, однопольная, глухая, класс прочности Мд1, число циклов безотказной эксплуатации - не менее 20000 (ГОСТ 475-2016), с защелкой.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- Дверное полотно: толщина 40 мм, материал - царговая, МДФ с покрытием "экошпон" (ПВХ), цвет "Дуб Шале Графит" ("Ильм Европейский")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 xml:space="preserve">с вертикальным расположением волокон (с горизонтальным расположением волокон);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 xml:space="preserve">- Комплект коробки: 32x70 (80, 90) мм с уплотнителем, материал - МДФ с покрытием "экошпон" (ПВХ), цвет - "Ильм Европейский", с вертикальным расположением волокон;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Наличник МДФ прямой, телескопический 70x25x2150 мм, 70x50x2150, угол стыковки 90 град., добор при необходимости;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Замок с защелкой, ответная часть замка;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- 2 петли накладные, цвет "сатинированная сталь";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Ручка - минималистичного дизайна, прямоугольной формы, цвет "сатинированная сталь"/"матовый хром";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Ограничитель дверей - напольный цилиндрический с прорезиненной вставкой, цвет - "хром матовый";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Марки и артикулы дверей согласовать с Заказчиком.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Марки и артикулы дверей согласовать с Заказчиком.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 предусмотреть установку отбойников дверей МОП.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 производством работ по чистовой отделке входных групп необходимо согласовать образцы отделочных материалов (материал, цвет, фактуру и т.п.) с Генпроектировщиком. Образцы декоративной отделки должны быть представлены на листовом материале 500х500 мм.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Классы пожарной опасности материалов перед закупкой проверить по чертежам раздела РД и предварительно согласовать с Генпроектировщиком.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Выполнять работы необходимо обученными и аттестованными специалистами.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ежемесячно компенсирует Генподрядчику расходы по предоставлению строительной техники, электроэнергии и вывозу строительных отходов в зависимости от их количества и согласно фактическим затратам Генподрядчика.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обязан обеспечить чистоту места производства работ, в том числе рабочих, содержать в исправном состоянии ограждение рабочих мест, осуществлять ежедневную уборку.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обязан разработать и согласовать с Генподрядчиком и строительным контролем Заказчика Проект Производства Работ (ППР). Без согласованного ППР Генподрядчиком и строительным контролем Заказчика начало работ на объекте – запрещается.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начала производства работ Подрядчик обязан подписать акт-допуск на производство работ у Генподрядчика, провести обучение, аттестацию и инструктаж рабочих и специалистов, обеспечить работников необходимым инвентарем, средствами защиты, спецодеждой и спецобувью. Все сотрудники Подрядчика обязаны находится на Объекте в спецодежде с нанесенной надписью названия Подрядной организации.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Подрядчик обязан организовать ведение производственного контроля (входной, операционный, приемочный и др.), ведение рабочей и подготовку исполнительной документации.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Подрядчик обязан на регулярной основе (ежедневно) предоставлять листы производственного анализа (ЛПА),  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Обеспечить своевременный вызов и свободный доступ представителям Генподрядчика, авторского надзора Генпроектировщика и строительного контроля Заказчика.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Каждый вид работ и каждая конструкция, выполненные Подрядчиком, предъявляются ответственному представителю Генподрядчика и строительному контролю Заказчика, и авторскому надзору Генпроектировщика в день выполнения работ с составлением акта освидетельствования выполненных работ (промежуточного/скрытого).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несет ответственность за достоверность сведений о выполненных объемах работ, предъявляемых к приемке и оплате, и несет ответственность за выполнение полного комплекса работ согласно техническому заданию и проектной документации.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берет на себя выполнение всех работ в целом (в т.ч. работ, не выделенных отдельно, но необходимых для выполнения указанного комплекса работ, и необходимых для нормальной эксплуатации результата работ с учетом всех необходимых материалов, ресурсов, машин, механизмов, и т.д., их доставки и подачи к месту производства работ) в соответствии с полученной проектной документацией и разграничением обязанностей, а также с учетом всех возможных скрытых работ, которые могут возникнуть.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несёт ответственность за сохранность работ, смонтированного оборудования, смонтированных оконных блоков и строительных конструкций, выполненных смежными организациями и находящихся в зоне выполнения работ Подрядчиком (соответствующий акт должен быть подписан со смежной организацией). При производстве работ подрядчик должен обеспечить защиту ламината от механического и абразивного повреждения.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выполнении работ с необходимостью демонтажа ранее смонтированных смежными организациями конструкций и/или инженерных систем Подрядчик должен в обязательном порядке согласовать демонтаж с ответственным представителем Генподрядчика с определением источника финансирования и организации, которая восстановит нанесенный ущерб.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обязан иметь в штате сотрудника, который занимается организацией доступа во все помещения на объекте, ведет журнал выдачи ключей с фиксацией ФИО, наименования организации, даты и подписью человека, принимающего и сдающего ключи. Также данный сотрудник обязан производить осмотр помещений на предмет сохранности выполненных работ вплоть до передачи ключей в отдел приема-передачи квартир.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/>
            </w:pPr>
            <w:r>
              <w:rPr>
                <w:sz w:val="20"/>
                <w:szCs w:val="20"/>
              </w:rPr>
              <w:t>По всем случаям нанесения Подрядчиком материального ущерба Заказчику или смежным организациям стороны составляют акты, которые являются основанием для выполнения Подрядчиком восстановительных работ за свой счёт или оплаты по предъявленным ему счетам.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окончательной передаче квартир необходимо иметь специализированные рабочие бригады с достаточным количеством сотрудников, занятых только на подготовке помещений и оперативном устранении замечаний. Передача ключей должна осуществляться в количестве, предусмотренном заводом-изготовителем.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обладает необходимым и достаточным профессиональным опытом, знаниями и умениями для выполнения работ и корректного определения их стоимости с учетом возможного изменения видов и/или объемов работ при строительстве, а также видов, объемов и/или стоимости используемых материалов, а также всех возможных дополнительных работ, прямо не указанных в технической документации (в т.ч. рабочей документации), но необходимых к выполнению, для достижения указанного результата работ, принимая во внимание ст. 744 Гражданского кодекса РФ. Подрядчик гарантирует, что Расчет сметной стоимости СМР подготовлен им профессионально, добросовестно, принимая во внимание обычаи делового оборота в сфере гражданского строительства, с учетом предшествующего опыта выполнения строительно-монтажных работ, а также с учетом технологии производства строительно-монтажных работ в целом и указанных работ в частности, с проявлением той степени заботливости и осмотрительности, какая требуется от него по характеру работ и условиям гражданского оборота.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Подрядчик оплачивает услуги, оказываемые Генподрядчиком, связанные с обеспечением производства работ на объекте, в размере 1,5 % (Полтора процента), в том числе НДС-20%.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резерва качества осуществляется после подписания Итогового Акта: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 - через 1 год;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 - через 2 года</w:t>
            </w:r>
          </w:p>
          <w:p>
            <w:pPr>
              <w:pStyle w:val="Normal"/>
              <w:keepNext w:val="true"/>
              <w:keepLines/>
              <w:spacing w:before="0" w:after="0"/>
              <w:ind w:firstLine="430" w:right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выполнения работ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Предварительная дата начала СМР – 04.08.25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Дата окончания СМР – 30.08.26</w:t>
            </w:r>
          </w:p>
          <w:p>
            <w:pPr>
              <w:pStyle w:val="Normal"/>
              <w:keepNext w:val="true"/>
              <w:keepLines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Продолжительность СМР количество дней - 391</w:t>
            </w:r>
          </w:p>
        </w:tc>
      </w:tr>
    </w:tbl>
    <w:p>
      <w:pPr>
        <w:pStyle w:val="Normal"/>
        <w:keepNext w:val="true"/>
        <w:keepLines/>
        <w:spacing w:before="0" w:after="0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true"/>
        <w:keepLines/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По всем вопросам, касающимся объемов работ и материалов, обращаться к начальнику ПТО</w:t>
      </w:r>
    </w:p>
    <w:p>
      <w:pPr>
        <w:pStyle w:val="Normal"/>
        <w:keepNext w:val="true"/>
        <w:keepLines/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Райскому Виктору Юрьевичу.</w:t>
      </w:r>
    </w:p>
    <w:p>
      <w:pPr>
        <w:pStyle w:val="Normal"/>
        <w:keepNext w:val="true"/>
        <w:keepLines/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Телефон: </w:t>
      </w:r>
    </w:p>
    <w:p>
      <w:pPr>
        <w:pStyle w:val="Normal"/>
        <w:keepNext w:val="true"/>
        <w:keepLines/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+7(812)677-16-48 доб. 2417</w:t>
      </w:r>
    </w:p>
    <w:p>
      <w:pPr>
        <w:pStyle w:val="Normal"/>
        <w:keepNext w:val="true"/>
        <w:keepLines/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+7931 209 2476</w:t>
      </w:r>
    </w:p>
    <w:p>
      <w:pPr>
        <w:pStyle w:val="Normal"/>
        <w:keepNext w:val="true"/>
        <w:keepLines/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5104"/>
      </w:tblGrid>
      <w:tr>
        <w:trPr>
          <w:trHeight w:val="23" w:hRule="atLeast"/>
        </w:trPr>
        <w:tc>
          <w:tcPr>
            <w:tcW w:w="4672" w:type="dxa"/>
            <w:tcBorders/>
          </w:tcPr>
          <w:p>
            <w:pPr>
              <w:pStyle w:val="Normal"/>
              <w:snapToGrid w:val="false"/>
              <w:ind w:right="21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адрес (Местонахождение): 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Почтовый адрес: 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Тел/факс: 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Эл. почта: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КПП 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БИК 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</w:t>
            </w:r>
          </w:p>
        </w:tc>
        <w:tc>
          <w:tcPr>
            <w:tcW w:w="5104" w:type="dxa"/>
            <w:tcBorders/>
          </w:tcPr>
          <w:p>
            <w:pPr>
              <w:pStyle w:val="Normal"/>
              <w:snapToGrid w:val="false"/>
              <w:ind w:right="21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ГЕНПОДРЯДЧИК</w:t>
            </w:r>
          </w:p>
          <w:p>
            <w:pPr>
              <w:pStyle w:val="Normal"/>
              <w:keepNext w:val="true"/>
              <w:keepLines/>
              <w:tabs>
                <w:tab w:val="left" w:pos="708" w:leader="none"/>
                <w:tab w:val="center" w:pos="4677" w:leader="none"/>
                <w:tab w:val="right" w:pos="935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Юридический адрес (Местонахождение):</w:t>
            </w:r>
          </w:p>
          <w:p>
            <w:pPr>
              <w:pStyle w:val="Normal"/>
              <w:keepNext w:val="true"/>
              <w:keepLines/>
              <w:tabs>
                <w:tab w:val="left" w:pos="708" w:leader="none"/>
                <w:tab w:val="center" w:pos="4677" w:leader="none"/>
                <w:tab w:val="right" w:pos="935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Почтовый адрес: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Тел/факс: 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Эл. почта:</w:t>
            </w:r>
          </w:p>
          <w:p>
            <w:pPr>
              <w:pStyle w:val="Normal"/>
              <w:keepNext w:val="true"/>
              <w:keepLines/>
              <w:tabs>
                <w:tab w:val="left" w:pos="708" w:leader="none"/>
                <w:tab w:val="center" w:pos="4677" w:leader="none"/>
                <w:tab w:val="right" w:pos="935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  <w:p>
            <w:pPr>
              <w:pStyle w:val="Normal"/>
              <w:keepNext w:val="true"/>
              <w:keepLines/>
              <w:tabs>
                <w:tab w:val="left" w:pos="708" w:leader="none"/>
                <w:tab w:val="center" w:pos="4677" w:leader="none"/>
                <w:tab w:val="right" w:pos="935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КПП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</w:t>
            </w:r>
          </w:p>
          <w:p>
            <w:pPr>
              <w:pStyle w:val="Normal"/>
              <w:ind w:righ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БИК </w:t>
            </w:r>
          </w:p>
          <w:p>
            <w:pPr>
              <w:pStyle w:val="Normal"/>
              <w:ind w:right="21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к/с</w:t>
            </w:r>
          </w:p>
        </w:tc>
      </w:tr>
    </w:tbl>
    <w:p>
      <w:pPr>
        <w:pStyle w:val="Normal"/>
        <w:keepNext w:val="true"/>
        <w:keepLines/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footerReference w:type="default" r:id="rId2"/>
      <w:type w:val="nextPage"/>
      <w:pgSz w:w="11906" w:h="16838"/>
      <w:pgMar w:left="1418" w:right="851" w:gutter="0" w:header="0" w:top="567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Segoe UI">
    <w:charset w:val="cc"/>
    <w:family w:val="swiss"/>
    <w:pitch w:val="variable"/>
  </w:font>
  <w:font w:name="Calibri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2z0">
    <w:name w:val="WW8Num12z0"/>
    <w:qFormat/>
    <w:rPr/>
  </w:style>
  <w:style w:type="character" w:styleId="Style14">
    <w:name w:val="Основной шрифт абзаца"/>
    <w:qFormat/>
    <w:rPr/>
  </w:style>
  <w:style w:type="character" w:styleId="Style15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apple-converted-space">
    <w:name w:val="apple-converted-space"/>
    <w:basedOn w:val="Style14"/>
    <w:qFormat/>
    <w:rPr/>
  </w:style>
  <w:style w:type="character" w:styleId="match">
    <w:name w:val="match"/>
    <w:basedOn w:val="Style14"/>
    <w:qFormat/>
    <w:rPr/>
  </w:style>
  <w:style w:type="character" w:styleId="Style16">
    <w:name w:val="Обычный (веб)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7">
    <w:name w:val="Текст выноски Знак"/>
    <w:qFormat/>
    <w:rPr>
      <w:rFonts w:ascii="Segoe UI" w:hAnsi="Segoe UI" w:eastAsia="Times New Roman" w:cs="Segoe UI"/>
      <w:sz w:val="18"/>
      <w:szCs w:val="18"/>
    </w:rPr>
  </w:style>
  <w:style w:type="character" w:styleId="Style18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">
    <w:name w:val="Основной текст с отступом 2 Знак"/>
    <w:qFormat/>
    <w:rPr>
      <w:rFonts w:ascii="Calibri" w:hAnsi="Calibri" w:eastAsia="Times New Roman" w:cs="Times New Roman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1">
    <w:name w:val="Основной текст 21"/>
    <w:basedOn w:val="Normal"/>
    <w:qFormat/>
    <w:pPr/>
    <w:rPr>
      <w:rFonts w:ascii="Arial" w:hAnsi="Arial" w:cs="Arial"/>
      <w:sz w:val="22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formattext">
    <w:name w:val="formattext"/>
    <w:basedOn w:val="Normal"/>
    <w:qFormat/>
    <w:pPr>
      <w:suppressAutoHyphens w:val="false"/>
      <w:spacing w:before="280" w:after="280"/>
    </w:pPr>
    <w:rPr/>
  </w:style>
  <w:style w:type="paragraph" w:styleId="FORMATTEXT1">
    <w:name w:val=".FORMATTEXT"/>
    <w:qFormat/>
    <w:pPr>
      <w:widowControl w:val="false"/>
      <w:autoSpaceDE w:val="false"/>
      <w:bidi w:val="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19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Style20">
    <w:name w:val="Абзац списка"/>
    <w:basedOn w:val="Normal"/>
    <w:qFormat/>
    <w:pPr>
      <w:spacing w:before="0" w:after="0"/>
      <w:ind w:hanging="0" w:left="720" w:right="0"/>
      <w:contextualSpacing/>
    </w:pPr>
    <w:rPr/>
  </w:style>
  <w:style w:type="paragraph" w:styleId="Style21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/>
    <w:rPr/>
  </w:style>
  <w:style w:type="paragraph" w:styleId="22">
    <w:name w:val="Основной текст с отступом 2"/>
    <w:basedOn w:val="Normal"/>
    <w:qFormat/>
    <w:pPr>
      <w:suppressAutoHyphens w:val="false"/>
      <w:spacing w:lineRule="auto" w:line="480" w:before="0" w:after="120"/>
      <w:ind w:hanging="0" w:left="283" w:right="0"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suppressAutoHyphens w:val="false"/>
      <w:autoSpaceDE w:val="false"/>
    </w:pPr>
    <w:rPr>
      <w:sz w:val="22"/>
      <w:szCs w:val="22"/>
      <w:lang w:bidi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LibreOffice/25.2.3.2$Linux_X86_64 LibreOffice_project/520$Build-2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2025-04-15T12:36:00Z</dcterms:created>
  <dc:creator>Веселова Наталья Николаевна</dc:creator>
  <dc:description/>
  <cp:keywords/>
  <dc:language>en-US</dc:language>
  <cp:lastModifiedBy>Симанович Ульяна Александровна</cp:lastModifiedBy>
  <cp:lastPrinted>2023-07-28T15:01:00Z</cp:lastPrinted>
  <dcterms:modified xsi:type="dcterms:W3CDTF">2025-05-21T11:32:00Z</dcterms:modified>
  <cp:revision>14</cp:revision>
  <dc:subject/>
  <dc:title/>
</cp:coreProperties>
</file>