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($230k-$250k + Equity) at Valon Technologies, Inc.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and automation tools using Java, Python, React, and cloud-native AWS infrastructure. Proven track record at Capital One and Dell Technologies delivering microservices, regulatory-compliant financial services systems,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financial services processing for large customer cohorts in alignment with regulatory compliance requirements;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Regulatory Compliance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($230k-$250k + Equity) at Valon Technologies, Inc.</dc:title>
  <dc:subject>Software Engineer ($230k-$250k + Equity) at Valon Technologies, Inc.</dc:subject>
  <cp:keywords>Software Engineer ($230k-$250k + Equity) at Valon Technologies, Inc., Jack &amp; Jill</cp:keywords>
</cp:coreProperties>
</file>