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applying critical thinking to core platforms and product experiences at fintech scale.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at fintech scale through a zero-downtime migration that required critical thinking to preserve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for core platforms and product experiences;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Robinhood-s</cp:keywords>
</cp:coreProperties>
</file>