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Engineer III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 for core banking systems, event-driven asynchronous architectures,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asynchronous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Engineer III</dc:title>
  <dc:subject>Backend Engineer III</dc:subject>
  <cp:keywords>Backend Engineer III, Stash</cp:keywords>
</cp:coreProperties>
</file>