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 for billing, payments, and collections workflows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and billing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supporting contract-to-cash processes, including contract creation, billing,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>Messaging &amp; Integration: Apache Kafka, RabbitMQ, RESTful API, SOAP, SAP Middleware, API Gateway, OAuth2, JWT, Payment Processing, Secure Coding Practices</w:t>
      </w:r>
      <w:r>
        <w:rPr>
          <w:color w:val="444444"/>
        </w:rPr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</dc:title>
  <dc:subject>Software Engineer</dc:subject>
  <cp:keywords>Software Engineer, Tabs</cp:keywords>
</cp:coreProperties>
</file>