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cloud-native AWS infrastructure. Proven track record at Capital One and Dell Technologies delivering microservices, platform services, CI/CD pipelines, Docker/Kubernetes containerization, and Gen AI / LLM integrations that reduced operational overhead by up to 50%. Experienced collaborator and team lead with a strong AI-first mindset and hands-on use of AI-assisted development tools,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global-scale, business-critical platform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Development Tools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Kaseya</cp:keywords>
</cp:coreProperties>
</file>