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007C91"/>
          <w:sz w:val="30"/>
        </w:rPr>
        <w:t>STRATEGIC PLAN</w:t>
      </w:r>
    </w:p>
    <w:p>
      <w:pPr>
        <w:spacing w:before="160"/>
        <w:jc w:val="center"/>
      </w:pPr>
      <w:r>
        <w:rPr>
          <w:rFonts w:ascii="Aptos Display" w:hAnsi="Aptos Display"/>
          <w:b/>
          <w:color w:val="17365D"/>
          <w:sz w:val="58"/>
        </w:rPr>
        <w:t>Data Analysis for Digital Services</w:t>
        <w:br/>
        <w:t>and E-Governance</w:t>
      </w:r>
    </w:p>
    <w:p>
      <w:pPr>
        <w:spacing w:before="300"/>
        <w:jc w:val="center"/>
      </w:pPr>
      <w:r>
        <w:rPr>
          <w:color w:val="4B5A69"/>
          <w:sz w:val="26"/>
        </w:rPr>
        <w:t>A Python-Based Framework for Evaluating Public Service Access,</w:t>
        <w:br/>
        <w:t>Efficiency, Responsiveness, and Inclusion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EF6"/>
          </w:tcPr>
          <w:p>
            <w:pPr>
              <w:spacing w:after="20"/>
            </w:pPr>
            <w:r/>
            <w:r>
              <w:rPr>
                <w:rFonts w:ascii="Aptos" w:hAnsi="Aptos"/>
                <w:b/>
                <w:color w:val="17365D"/>
                <w:sz w:val="20"/>
              </w:rPr>
              <w:t>Document type</w:t>
            </w:r>
          </w:p>
        </w:tc>
        <w:tc>
          <w:tcPr>
            <w:tcW w:type="dxa" w:w="4968"/>
            <w:vAlign w:val="center"/>
          </w:tcPr>
          <w:p>
            <w:pPr>
              <w:spacing w:after="20"/>
            </w:pPr>
            <w:r/>
            <w:r>
              <w:rPr>
                <w:rFonts w:ascii="Aptos" w:hAnsi="Aptos"/>
                <w:b w:val="0"/>
                <w:sz w:val="20"/>
              </w:rPr>
              <w:t>Project strategic plan</w:t>
            </w:r>
          </w:p>
        </w:tc>
      </w:tr>
      <w:tr>
        <w:tc>
          <w:tcPr>
            <w:tcW w:type="dxa" w:w="4968"/>
            <w:vAlign w:val="center"/>
            <w:shd w:fill="E7EEF6"/>
          </w:tcPr>
          <w:p>
            <w:pPr>
              <w:spacing w:after="20"/>
            </w:pPr>
            <w:r/>
            <w:r>
              <w:rPr>
                <w:rFonts w:ascii="Aptos" w:hAnsi="Aptos"/>
                <w:b/>
                <w:color w:val="17365D"/>
                <w:sz w:val="20"/>
              </w:rPr>
              <w:t>Study context</w:t>
            </w:r>
          </w:p>
        </w:tc>
        <w:tc>
          <w:tcPr>
            <w:tcW w:type="dxa" w:w="4968"/>
            <w:vAlign w:val="center"/>
          </w:tcPr>
          <w:p>
            <w:pPr>
              <w:spacing w:after="20"/>
            </w:pPr>
            <w:r/>
            <w:r>
              <w:rPr>
                <w:rFonts w:ascii="Aptos" w:hAnsi="Aptos"/>
                <w:b w:val="0"/>
                <w:sz w:val="20"/>
              </w:rPr>
              <w:t>Digital public services and e-governance in India</w:t>
            </w:r>
          </w:p>
        </w:tc>
      </w:tr>
      <w:tr>
        <w:tc>
          <w:tcPr>
            <w:tcW w:type="dxa" w:w="4968"/>
            <w:vAlign w:val="center"/>
            <w:shd w:fill="E7EEF6"/>
          </w:tcPr>
          <w:p>
            <w:pPr>
              <w:spacing w:after="20"/>
            </w:pPr>
            <w:r/>
            <w:r>
              <w:rPr>
                <w:rFonts w:ascii="Aptos" w:hAnsi="Aptos"/>
                <w:b/>
                <w:color w:val="17365D"/>
                <w:sz w:val="20"/>
              </w:rPr>
              <w:t>Proposed duration</w:t>
            </w:r>
          </w:p>
        </w:tc>
        <w:tc>
          <w:tcPr>
            <w:tcW w:type="dxa" w:w="4968"/>
            <w:vAlign w:val="center"/>
          </w:tcPr>
          <w:p>
            <w:pPr>
              <w:spacing w:after="20"/>
            </w:pPr>
            <w:r/>
            <w:r>
              <w:rPr>
                <w:rFonts w:ascii="Aptos" w:hAnsi="Aptos"/>
                <w:b w:val="0"/>
                <w:sz w:val="20"/>
              </w:rPr>
              <w:t>7 weeks (approximately 30–35 working hours)</w:t>
            </w:r>
          </w:p>
        </w:tc>
      </w:tr>
      <w:tr>
        <w:tc>
          <w:tcPr>
            <w:tcW w:type="dxa" w:w="4968"/>
            <w:vAlign w:val="center"/>
            <w:shd w:fill="E7EEF6"/>
          </w:tcPr>
          <w:p>
            <w:pPr>
              <w:spacing w:after="20"/>
            </w:pPr>
            <w:r/>
            <w:r>
              <w:rPr>
                <w:rFonts w:ascii="Aptos" w:hAnsi="Aptos"/>
                <w:b/>
                <w:color w:val="17365D"/>
                <w:sz w:val="20"/>
              </w:rPr>
              <w:t>Prepared on</w:t>
            </w:r>
          </w:p>
        </w:tc>
        <w:tc>
          <w:tcPr>
            <w:tcW w:type="dxa" w:w="4968"/>
            <w:vAlign w:val="center"/>
          </w:tcPr>
          <w:p>
            <w:pPr>
              <w:spacing w:after="20"/>
            </w:pPr>
            <w:r/>
            <w:r>
              <w:rPr>
                <w:rFonts w:ascii="Aptos" w:hAnsi="Aptos"/>
                <w:b w:val="0"/>
                <w:sz w:val="20"/>
              </w:rPr>
              <w:t>18 October 2026</w:t>
            </w:r>
          </w:p>
        </w:tc>
      </w:tr>
    </w:tbl>
    <w:p/>
    <w:p>
      <w:pPr>
        <w:spacing w:before="500"/>
        <w:jc w:val="center"/>
      </w:pPr>
      <w:r>
        <w:rPr>
          <w:b/>
          <w:color w:val="007C91"/>
          <w:sz w:val="24"/>
        </w:rPr>
        <w:t>Purpose</w:t>
      </w:r>
    </w:p>
    <w:p>
      <w:pPr>
        <w:ind w:left="1008" w:right="1008"/>
        <w:jc w:val="center"/>
      </w:pPr>
      <w:r>
        <w:t>To design a transparent, reproducible analysis using public datasets and service-performance evidence to identify practical opportunities for improving digital government services.</w:t>
      </w:r>
    </w:p>
    <w:p>
      <w:r>
        <w:br w:type="page"/>
      </w:r>
    </w:p>
    <w:p>
      <w:pPr>
        <w:pStyle w:val="Heading1"/>
      </w:pPr>
      <w:r>
        <w:t>Executive Summary</w:t>
      </w:r>
    </w:p>
    <w:p>
      <w:r>
        <w:t>Digital government services can reduce travel, paperwork, waiting time, and administrative costs. However, the existence of an online portal does not by itself prove that a service is easy to use, reliable, inclusive, or effective. This project proposes a structured, Python-based analysis of public data and published service reports to assess how digital public services perform and where improvement may be most valuable.</w:t>
      </w:r>
    </w:p>
    <w:p>
      <w:r>
        <w:t>The study will use a practical India-focused scope, while drawing on international GovTech frameworks for context. It will prioritize open datasets from the Government of India’s Open Government Data Platform (data.gov.in), relevant departmental dashboards and annual reports, and the World Bank’s GovTech Maturity Index (GTMI) dataset. The exact datasets will be selected after checking availability, definitions, date coverage, licensing, and completeness. No findings will be asserted before the data are collected and validated.</w:t>
      </w:r>
    </w:p>
    <w:p>
      <w:r>
        <w:t>The work will combine descriptive statistics, trend analysis, group comparisons, data-quality checks, and qualitative review of official reports. Expected outputs include a documented dataset inventory, cleaned analysis-ready files, reproducible Python notebooks/scripts, visualizations, an interpretation of key patterns, recommendations, and this strategic plan. The analysis will avoid personal or sensitive records and will distinguish correlation from causation.</w:t>
      </w:r>
    </w:p>
    <w:p>
      <w:pPr>
        <w:pStyle w:val="Heading2"/>
      </w:pPr>
      <w:r>
        <w:t>Project at a Glance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Element</w:t>
            </w:r>
          </w:p>
        </w:tc>
        <w:tc>
          <w:tcPr>
            <w:tcW w:type="dxa" w:w="4968"/>
            <w:vAlign w:val="center"/>
            <w:shd w:fill="17365D"/>
          </w:tcPr>
          <w:p>
            <w:pPr>
              <w:spacing w:after="20"/>
            </w:pPr>
            <w:r/>
            <w:r>
              <w:rPr>
                <w:rFonts w:ascii="Aptos" w:hAnsi="Aptos"/>
                <w:b/>
                <w:color w:val="FFFFFF"/>
                <w:sz w:val="18"/>
              </w:rPr>
              <w:t>Plan</w:t>
            </w:r>
          </w:p>
        </w:tc>
      </w:tr>
      <w:tr>
        <w:tc>
          <w:tcPr>
            <w:tcW w:type="dxa" w:w="4968"/>
            <w:vAlign w:val="center"/>
          </w:tcPr>
          <w:p>
            <w:pPr>
              <w:spacing w:after="20"/>
            </w:pPr>
            <w:r/>
            <w:r>
              <w:rPr>
                <w:rFonts w:ascii="Aptos" w:hAnsi="Aptos"/>
                <w:b w:val="0"/>
                <w:sz w:val="17"/>
              </w:rPr>
              <w:t>Core question</w:t>
            </w:r>
          </w:p>
        </w:tc>
        <w:tc>
          <w:tcPr>
            <w:tcW w:type="dxa" w:w="4968"/>
            <w:vAlign w:val="center"/>
          </w:tcPr>
          <w:p>
            <w:pPr>
              <w:spacing w:after="20"/>
            </w:pPr>
            <w:r/>
            <w:r>
              <w:rPr>
                <w:rFonts w:ascii="Aptos" w:hAnsi="Aptos"/>
                <w:b w:val="0"/>
                <w:sz w:val="17"/>
              </w:rPr>
              <w:t>What do available public data indicate about the reach, use, timeliness, reliability, and inclusiveness of digital public services?</w:t>
            </w:r>
          </w:p>
        </w:tc>
      </w:tr>
      <w:tr>
        <w:tc>
          <w:tcPr>
            <w:tcW w:type="dxa" w:w="4968"/>
            <w:vAlign w:val="center"/>
            <w:shd w:fill="F1F5F9"/>
          </w:tcPr>
          <w:p>
            <w:pPr>
              <w:spacing w:after="20"/>
            </w:pPr>
            <w:r/>
            <w:r>
              <w:rPr>
                <w:rFonts w:ascii="Aptos" w:hAnsi="Aptos"/>
                <w:b w:val="0"/>
                <w:sz w:val="17"/>
              </w:rPr>
              <w:t>Geographic focus</w:t>
            </w:r>
          </w:p>
        </w:tc>
        <w:tc>
          <w:tcPr>
            <w:tcW w:type="dxa" w:w="4968"/>
            <w:vAlign w:val="center"/>
            <w:shd w:fill="F1F5F9"/>
          </w:tcPr>
          <w:p>
            <w:pPr>
              <w:spacing w:after="20"/>
            </w:pPr>
            <w:r/>
            <w:r>
              <w:rPr>
                <w:rFonts w:ascii="Aptos" w:hAnsi="Aptos"/>
                <w:b w:val="0"/>
                <w:sz w:val="17"/>
              </w:rPr>
              <w:t>India; state or district comparisons only where comparable data exist.</w:t>
            </w:r>
          </w:p>
        </w:tc>
      </w:tr>
      <w:tr>
        <w:tc>
          <w:tcPr>
            <w:tcW w:type="dxa" w:w="4968"/>
            <w:vAlign w:val="center"/>
          </w:tcPr>
          <w:p>
            <w:pPr>
              <w:spacing w:after="20"/>
            </w:pPr>
            <w:r/>
            <w:r>
              <w:rPr>
                <w:rFonts w:ascii="Aptos" w:hAnsi="Aptos"/>
                <w:b w:val="0"/>
                <w:sz w:val="17"/>
              </w:rPr>
              <w:t>Methods</w:t>
            </w:r>
          </w:p>
        </w:tc>
        <w:tc>
          <w:tcPr>
            <w:tcW w:type="dxa" w:w="4968"/>
            <w:vAlign w:val="center"/>
          </w:tcPr>
          <w:p>
            <w:pPr>
              <w:spacing w:after="20"/>
            </w:pPr>
            <w:r/>
            <w:r>
              <w:rPr>
                <w:rFonts w:ascii="Aptos" w:hAnsi="Aptos"/>
                <w:b w:val="0"/>
                <w:sz w:val="17"/>
              </w:rPr>
              <w:t>Open-data research, data profiling, cleaning, exploratory data analysis, descriptive statistics, trend and group analysis, qualitative document review.</w:t>
            </w:r>
          </w:p>
        </w:tc>
      </w:tr>
      <w:tr>
        <w:tc>
          <w:tcPr>
            <w:tcW w:type="dxa" w:w="4968"/>
            <w:vAlign w:val="center"/>
            <w:shd w:fill="F1F5F9"/>
          </w:tcPr>
          <w:p>
            <w:pPr>
              <w:spacing w:after="20"/>
            </w:pPr>
            <w:r/>
            <w:r>
              <w:rPr>
                <w:rFonts w:ascii="Aptos" w:hAnsi="Aptos"/>
                <w:b w:val="0"/>
                <w:sz w:val="17"/>
              </w:rPr>
              <w:t>Tools</w:t>
            </w:r>
          </w:p>
        </w:tc>
        <w:tc>
          <w:tcPr>
            <w:tcW w:type="dxa" w:w="4968"/>
            <w:vAlign w:val="center"/>
            <w:shd w:fill="F1F5F9"/>
          </w:tcPr>
          <w:p>
            <w:pPr>
              <w:spacing w:after="20"/>
            </w:pPr>
            <w:r/>
            <w:r>
              <w:rPr>
                <w:rFonts w:ascii="Aptos" w:hAnsi="Aptos"/>
                <w:b w:val="0"/>
                <w:sz w:val="17"/>
              </w:rPr>
              <w:t>Python, pandas, NumPy, Matplotlib/Seaborn, Jupyter Notebook; Excel/CSV for inspection; optional Power BI/Tableau for presentation.</w:t>
            </w:r>
          </w:p>
        </w:tc>
      </w:tr>
      <w:tr>
        <w:tc>
          <w:tcPr>
            <w:tcW w:type="dxa" w:w="4968"/>
            <w:vAlign w:val="center"/>
          </w:tcPr>
          <w:p>
            <w:pPr>
              <w:spacing w:after="20"/>
            </w:pPr>
            <w:r/>
            <w:r>
              <w:rPr>
                <w:rFonts w:ascii="Aptos" w:hAnsi="Aptos"/>
                <w:b w:val="0"/>
                <w:sz w:val="17"/>
              </w:rPr>
              <w:t>Primary users</w:t>
            </w:r>
          </w:p>
        </w:tc>
        <w:tc>
          <w:tcPr>
            <w:tcW w:type="dxa" w:w="4968"/>
            <w:vAlign w:val="center"/>
          </w:tcPr>
          <w:p>
            <w:pPr>
              <w:spacing w:after="20"/>
            </w:pPr>
            <w:r/>
            <w:r>
              <w:rPr>
                <w:rFonts w:ascii="Aptos" w:hAnsi="Aptos"/>
                <w:b w:val="0"/>
                <w:sz w:val="17"/>
              </w:rPr>
              <w:t>Project evaluators, students, service designers, and public-sector decision-makers.</w:t>
            </w:r>
          </w:p>
        </w:tc>
      </w:tr>
      <w:tr>
        <w:tc>
          <w:tcPr>
            <w:tcW w:type="dxa" w:w="4968"/>
            <w:vAlign w:val="center"/>
            <w:shd w:fill="F1F5F9"/>
          </w:tcPr>
          <w:p>
            <w:pPr>
              <w:spacing w:after="20"/>
            </w:pPr>
            <w:r/>
            <w:r>
              <w:rPr>
                <w:rFonts w:ascii="Aptos" w:hAnsi="Aptos"/>
                <w:b w:val="0"/>
                <w:sz w:val="17"/>
              </w:rPr>
              <w:t>Main limitation</w:t>
            </w:r>
          </w:p>
        </w:tc>
        <w:tc>
          <w:tcPr>
            <w:tcW w:type="dxa" w:w="4968"/>
            <w:vAlign w:val="center"/>
            <w:shd w:fill="F1F5F9"/>
          </w:tcPr>
          <w:p>
            <w:pPr>
              <w:spacing w:after="20"/>
            </w:pPr>
            <w:r/>
            <w:r>
              <w:rPr>
                <w:rFonts w:ascii="Aptos" w:hAnsi="Aptos"/>
                <w:b w:val="0"/>
                <w:sz w:val="17"/>
              </w:rPr>
              <w:t>Public data may measure service availability or transactions rather than user satisfaction or real service quality.</w:t>
            </w:r>
          </w:p>
        </w:tc>
      </w:tr>
    </w:tbl>
    <w:p/>
    <w:p>
      <w:pPr>
        <w:pStyle w:val="Heading1"/>
      </w:pPr>
      <w:r>
        <w:t>1. Background and Problem Statement</w:t>
      </w:r>
    </w:p>
    <w:p>
      <w:r>
        <w:t>E-governance uses digital technologies, information systems, and online channels to support public administration and citizen-facing services. Examples include certificates, welfare applications, tax and fee payments, grievance redressal, utility services, and access to government information. The value of these services depends not only on whether a portal exists, but also on whether people can access it, complete transactions, receive decisions on time, and obtain help when something goes wrong.</w:t>
      </w:r>
    </w:p>
    <w:p>
      <w:r>
        <w:t>A data-driven assessment can help identify service bottlenecks, variation across regions, under-served groups, and gaps in public reporting. Yet the evidence is often distributed across multiple portals and reports, uses different time periods or definitions, and may contain missing values or inconsistent geographic labels. The project will therefore treat data selection, validation, and transparent interpretation as core activities rather than simple preliminary steps.</w:t>
      </w:r>
    </w:p>
    <w:p>
      <w:pPr>
        <w:pStyle w:val="Heading1"/>
      </w:pPr>
      <w:r>
        <w:t>2. Aim, Objectives, and Research Questions</w:t>
      </w:r>
    </w:p>
    <w:p>
      <w:pPr>
        <w:pStyle w:val="Heading2"/>
      </w:pPr>
      <w:r>
        <w:t>2.1 Overall aim</w:t>
      </w:r>
    </w:p>
    <w:p>
      <w:r>
        <w:t>To develop an evidence-based strategic plan and reproducible analytical workflow for assessing selected digital government services using reliable public data and Python.</w:t>
      </w:r>
    </w:p>
    <w:p>
      <w:pPr>
        <w:pStyle w:val="Heading2"/>
      </w:pPr>
      <w:r>
        <w:t>2.2 Specific objectives</w:t>
      </w:r>
    </w:p>
    <w:p>
      <w:pPr>
        <w:pStyle w:val="ListBullet"/>
        <w:spacing w:after="40"/>
      </w:pPr>
      <w:r>
        <w:t>Identify and document public data sources relevant to digital service availability, uptake, delivery performance, grievance resolution, connectivity, and inclusion.</w:t>
      </w:r>
    </w:p>
    <w:p>
      <w:pPr>
        <w:pStyle w:val="ListBullet"/>
        <w:spacing w:after="40"/>
      </w:pPr>
      <w:r>
        <w:t>Define measurable indicators and a data dictionary before analysis begins.</w:t>
      </w:r>
    </w:p>
    <w:p>
      <w:pPr>
        <w:pStyle w:val="ListBullet"/>
        <w:spacing w:after="40"/>
      </w:pPr>
      <w:r>
        <w:t>Assess completeness, consistency, validity, timeliness, duplication, and comparability of candidate datasets.</w:t>
      </w:r>
    </w:p>
    <w:p>
      <w:pPr>
        <w:pStyle w:val="ListBullet"/>
        <w:spacing w:after="40"/>
      </w:pPr>
      <w:r>
        <w:t>Describe service usage and performance patterns across time and, where valid, across states, districts, service types, or channels.</w:t>
      </w:r>
    </w:p>
    <w:p>
      <w:pPr>
        <w:pStyle w:val="ListBullet"/>
        <w:spacing w:after="40"/>
      </w:pPr>
      <w:r>
        <w:t>Use official reports and documented policy context to interpret quantitative patterns without overclaiming causality.</w:t>
      </w:r>
    </w:p>
    <w:p>
      <w:pPr>
        <w:pStyle w:val="ListBullet"/>
        <w:spacing w:after="40"/>
      </w:pPr>
      <w:r>
        <w:t>Translate evidence into prioritized, feasible recommendations for service improvement and better public reporting.</w:t>
      </w:r>
    </w:p>
    <w:p>
      <w:pPr>
        <w:pStyle w:val="ListBullet"/>
        <w:spacing w:after="40"/>
      </w:pPr>
      <w:r>
        <w:t>Deliver a well-organized DOCX report, analysis files, reproducible Python code, charts, and a record of limitations.</w:t>
      </w:r>
    </w:p>
    <w:p>
      <w:pPr>
        <w:pStyle w:val="Heading2"/>
      </w:pPr>
      <w:r>
        <w:t>2.3 Research questions</w:t>
      </w:r>
    </w:p>
    <w:p>
      <w:pPr>
        <w:pStyle w:val="ListNumber"/>
        <w:spacing w:after="60"/>
      </w:pPr>
      <w:r>
        <w:t>Which public indicators are available to measure digital service reach, usage, timeliness, reliability, and citizen responsiveness?</w:t>
      </w:r>
    </w:p>
    <w:p>
      <w:pPr>
        <w:pStyle w:val="ListNumber"/>
        <w:spacing w:after="60"/>
      </w:pPr>
      <w:r>
        <w:t>How do selected indicators change over time, and are there meaningful differences across regions or service categories?</w:t>
      </w:r>
    </w:p>
    <w:p>
      <w:pPr>
        <w:pStyle w:val="ListNumber"/>
        <w:spacing w:after="60"/>
      </w:pPr>
      <w:r>
        <w:t>Where do the data suggest possible access or service-delivery gaps?</w:t>
      </w:r>
    </w:p>
    <w:p>
      <w:pPr>
        <w:pStyle w:val="ListNumber"/>
        <w:spacing w:after="60"/>
      </w:pPr>
      <w:r>
        <w:t>How much of the observed variation may be explained by differences in definitions, reporting coverage, or data quality?</w:t>
      </w:r>
    </w:p>
    <w:p>
      <w:pPr>
        <w:pStyle w:val="ListNumber"/>
        <w:spacing w:after="60"/>
      </w:pPr>
      <w:r>
        <w:t>What improvements in service design, monitoring, accessibility, or data publication are justified by the evidence?</w:t>
      </w:r>
    </w:p>
    <w:p>
      <w:pPr>
        <w:pStyle w:val="Heading1"/>
      </w:pPr>
      <w:r>
        <w:t>3. Scope, Boundaries, and Assumptions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In scope</w:t>
            </w:r>
          </w:p>
        </w:tc>
        <w:tc>
          <w:tcPr>
            <w:tcW w:type="dxa" w:w="4968"/>
            <w:vAlign w:val="center"/>
            <w:shd w:fill="17365D"/>
          </w:tcPr>
          <w:p>
            <w:pPr>
              <w:spacing w:after="20"/>
            </w:pPr>
            <w:r/>
            <w:r>
              <w:rPr>
                <w:rFonts w:ascii="Aptos" w:hAnsi="Aptos"/>
                <w:b/>
                <w:color w:val="FFFFFF"/>
                <w:sz w:val="18"/>
              </w:rPr>
              <w:t>Out of scope / boundary</w:t>
            </w:r>
          </w:p>
        </w:tc>
      </w:tr>
      <w:tr>
        <w:tc>
          <w:tcPr>
            <w:tcW w:type="dxa" w:w="4968"/>
            <w:vAlign w:val="center"/>
          </w:tcPr>
          <w:p>
            <w:pPr>
              <w:spacing w:after="20"/>
            </w:pPr>
            <w:r/>
            <w:r>
              <w:rPr>
                <w:rFonts w:ascii="Aptos" w:hAnsi="Aptos"/>
                <w:b w:val="0"/>
                <w:sz w:val="17"/>
              </w:rPr>
              <w:t>Public, legally accessible datasets and published government or multilateral reports.</w:t>
            </w:r>
          </w:p>
        </w:tc>
        <w:tc>
          <w:tcPr>
            <w:tcW w:type="dxa" w:w="4968"/>
            <w:vAlign w:val="center"/>
          </w:tcPr>
          <w:p>
            <w:pPr>
              <w:spacing w:after="20"/>
            </w:pPr>
            <w:r/>
            <w:r>
              <w:rPr>
                <w:rFonts w:ascii="Aptos" w:hAnsi="Aptos"/>
                <w:b w:val="0"/>
                <w:sz w:val="17"/>
              </w:rPr>
              <w:t>Private citizen records, credentials, restricted datasets, or attempts to bypass access controls.</w:t>
            </w:r>
          </w:p>
        </w:tc>
      </w:tr>
      <w:tr>
        <w:tc>
          <w:tcPr>
            <w:tcW w:type="dxa" w:w="4968"/>
            <w:vAlign w:val="center"/>
            <w:shd w:fill="F1F5F9"/>
          </w:tcPr>
          <w:p>
            <w:pPr>
              <w:spacing w:after="20"/>
            </w:pPr>
            <w:r/>
            <w:r>
              <w:rPr>
                <w:rFonts w:ascii="Aptos" w:hAnsi="Aptos"/>
                <w:b w:val="0"/>
                <w:sz w:val="17"/>
              </w:rPr>
              <w:t>Selected services and indicators for which definitions and periods can be verified.</w:t>
            </w:r>
          </w:p>
        </w:tc>
        <w:tc>
          <w:tcPr>
            <w:tcW w:type="dxa" w:w="4968"/>
            <w:vAlign w:val="center"/>
            <w:shd w:fill="F1F5F9"/>
          </w:tcPr>
          <w:p>
            <w:pPr>
              <w:spacing w:after="20"/>
            </w:pPr>
            <w:r/>
            <w:r>
              <w:rPr>
                <w:rFonts w:ascii="Aptos" w:hAnsi="Aptos"/>
                <w:b w:val="0"/>
                <w:sz w:val="17"/>
              </w:rPr>
              <w:t>A claim to evaluate every government service or every Indian state.</w:t>
            </w:r>
          </w:p>
        </w:tc>
      </w:tr>
      <w:tr>
        <w:tc>
          <w:tcPr>
            <w:tcW w:type="dxa" w:w="4968"/>
            <w:vAlign w:val="center"/>
          </w:tcPr>
          <w:p>
            <w:pPr>
              <w:spacing w:after="20"/>
            </w:pPr>
            <w:r/>
            <w:r>
              <w:rPr>
                <w:rFonts w:ascii="Aptos" w:hAnsi="Aptos"/>
                <w:b w:val="0"/>
                <w:sz w:val="17"/>
              </w:rPr>
              <w:t>Descriptive and exploratory analysis; transparent comparison where data are comparable.</w:t>
            </w:r>
          </w:p>
        </w:tc>
        <w:tc>
          <w:tcPr>
            <w:tcW w:type="dxa" w:w="4968"/>
            <w:vAlign w:val="center"/>
          </w:tcPr>
          <w:p>
            <w:pPr>
              <w:spacing w:after="20"/>
            </w:pPr>
            <w:r/>
            <w:r>
              <w:rPr>
                <w:rFonts w:ascii="Aptos" w:hAnsi="Aptos"/>
                <w:b w:val="0"/>
                <w:sz w:val="17"/>
              </w:rPr>
              <w:t>Causal claims that a digital service alone caused a social or economic outcome.</w:t>
            </w:r>
          </w:p>
        </w:tc>
      </w:tr>
      <w:tr>
        <w:tc>
          <w:tcPr>
            <w:tcW w:type="dxa" w:w="4968"/>
            <w:vAlign w:val="center"/>
            <w:shd w:fill="F1F5F9"/>
          </w:tcPr>
          <w:p>
            <w:pPr>
              <w:spacing w:after="20"/>
            </w:pPr>
            <w:r/>
            <w:r>
              <w:rPr>
                <w:rFonts w:ascii="Aptos" w:hAnsi="Aptos"/>
                <w:b w:val="0"/>
                <w:sz w:val="17"/>
              </w:rPr>
              <w:t>Recommendations based on evidence, limitations, and practical feasibility.</w:t>
            </w:r>
          </w:p>
        </w:tc>
        <w:tc>
          <w:tcPr>
            <w:tcW w:type="dxa" w:w="4968"/>
            <w:vAlign w:val="center"/>
            <w:shd w:fill="F1F5F9"/>
          </w:tcPr>
          <w:p>
            <w:pPr>
              <w:spacing w:after="20"/>
            </w:pPr>
            <w:r/>
            <w:r>
              <w:rPr>
                <w:rFonts w:ascii="Aptos" w:hAnsi="Aptos"/>
                <w:b w:val="0"/>
                <w:sz w:val="17"/>
              </w:rPr>
              <w:t>Publishing personally identifiable information or inferring sensitive traits.</w:t>
            </w:r>
          </w:p>
        </w:tc>
      </w:tr>
      <w:tr>
        <w:tc>
          <w:tcPr>
            <w:tcW w:type="dxa" w:w="4968"/>
            <w:vAlign w:val="center"/>
          </w:tcPr>
          <w:p>
            <w:pPr>
              <w:spacing w:after="20"/>
            </w:pPr>
            <w:r/>
            <w:r>
              <w:rPr>
                <w:rFonts w:ascii="Aptos" w:hAnsi="Aptos"/>
                <w:b w:val="0"/>
                <w:sz w:val="17"/>
              </w:rPr>
              <w:t>India-focused analysis, with international frameworks for context.</w:t>
            </w:r>
          </w:p>
        </w:tc>
        <w:tc>
          <w:tcPr>
            <w:tcW w:type="dxa" w:w="4968"/>
            <w:vAlign w:val="center"/>
          </w:tcPr>
          <w:p>
            <w:pPr>
              <w:spacing w:after="20"/>
            </w:pPr>
            <w:r/>
            <w:r>
              <w:rPr>
                <w:rFonts w:ascii="Aptos" w:hAnsi="Aptos"/>
                <w:b w:val="0"/>
                <w:sz w:val="17"/>
              </w:rPr>
              <w:t>Direct ranking of states where source coverage and definitions are not comparable.</w:t>
            </w:r>
          </w:p>
        </w:tc>
      </w:tr>
    </w:tbl>
    <w:p/>
    <w:p>
      <w:r>
        <w:t>Assumptions: datasets are accessed according to their published terms; source metadata are retained; indicators are not combined unless their definitions and units are compatible; and findings are presented as provisional when data are incomplete.</w:t>
      </w:r>
    </w:p>
    <w:p>
      <w:pPr>
        <w:pStyle w:val="Heading1"/>
      </w:pPr>
      <w:r>
        <w:t>4. Data Needs and Proposed Indicators</w:t>
      </w:r>
    </w:p>
    <w:p>
      <w:r>
        <w:t>The project should begin with indicators that are likely to be available in public sources. Each indicator must have a definition, unit, reporting period, geographic level, source, and known limitations. The following is a proposed menu, not a claim that every field is available for every service.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Dimension</w:t>
            </w:r>
          </w:p>
        </w:tc>
        <w:tc>
          <w:tcPr>
            <w:tcW w:type="dxa" w:w="3312"/>
            <w:vAlign w:val="center"/>
            <w:shd w:fill="17365D"/>
          </w:tcPr>
          <w:p>
            <w:pPr>
              <w:spacing w:after="20"/>
            </w:pPr>
            <w:r/>
            <w:r>
              <w:rPr>
                <w:rFonts w:ascii="Aptos" w:hAnsi="Aptos"/>
                <w:b/>
                <w:color w:val="FFFFFF"/>
                <w:sz w:val="18"/>
              </w:rPr>
              <w:t>Candidate indicators</w:t>
            </w:r>
          </w:p>
        </w:tc>
        <w:tc>
          <w:tcPr>
            <w:tcW w:type="dxa" w:w="3312"/>
            <w:vAlign w:val="center"/>
            <w:shd w:fill="17365D"/>
          </w:tcPr>
          <w:p>
            <w:pPr>
              <w:spacing w:after="20"/>
            </w:pPr>
            <w:r/>
            <w:r>
              <w:rPr>
                <w:rFonts w:ascii="Aptos" w:hAnsi="Aptos"/>
                <w:b/>
                <w:color w:val="FFFFFF"/>
                <w:sz w:val="18"/>
              </w:rPr>
              <w:t>Analytical use</w:t>
            </w:r>
          </w:p>
        </w:tc>
      </w:tr>
      <w:tr>
        <w:tc>
          <w:tcPr>
            <w:tcW w:type="dxa" w:w="3312"/>
            <w:vAlign w:val="center"/>
          </w:tcPr>
          <w:p>
            <w:pPr>
              <w:spacing w:after="20"/>
            </w:pPr>
            <w:r/>
            <w:r>
              <w:rPr>
                <w:rFonts w:ascii="Aptos" w:hAnsi="Aptos"/>
                <w:b w:val="0"/>
                <w:sz w:val="17"/>
              </w:rPr>
              <w:t>Availability and coverage</w:t>
            </w:r>
          </w:p>
        </w:tc>
        <w:tc>
          <w:tcPr>
            <w:tcW w:type="dxa" w:w="3312"/>
            <w:vAlign w:val="center"/>
          </w:tcPr>
          <w:p>
            <w:pPr>
              <w:spacing w:after="20"/>
            </w:pPr>
            <w:r/>
            <w:r>
              <w:rPr>
                <w:rFonts w:ascii="Aptos" w:hAnsi="Aptos"/>
                <w:b w:val="0"/>
                <w:sz w:val="17"/>
              </w:rPr>
              <w:t>Number of services online; number of participating departments; geographic coverage; service catalogue coverage.</w:t>
            </w:r>
          </w:p>
        </w:tc>
        <w:tc>
          <w:tcPr>
            <w:tcW w:type="dxa" w:w="3312"/>
            <w:vAlign w:val="center"/>
          </w:tcPr>
          <w:p>
            <w:pPr>
              <w:spacing w:after="20"/>
            </w:pPr>
            <w:r/>
            <w:r>
              <w:rPr>
                <w:rFonts w:ascii="Aptos" w:hAnsi="Aptos"/>
                <w:b w:val="0"/>
                <w:sz w:val="17"/>
              </w:rPr>
              <w:t>Understand the breadth of digital service provision.</w:t>
            </w:r>
          </w:p>
        </w:tc>
      </w:tr>
      <w:tr>
        <w:tc>
          <w:tcPr>
            <w:tcW w:type="dxa" w:w="3312"/>
            <w:vAlign w:val="center"/>
            <w:shd w:fill="F1F5F9"/>
          </w:tcPr>
          <w:p>
            <w:pPr>
              <w:spacing w:after="20"/>
            </w:pPr>
            <w:r/>
            <w:r>
              <w:rPr>
                <w:rFonts w:ascii="Aptos" w:hAnsi="Aptos"/>
                <w:b w:val="0"/>
                <w:sz w:val="17"/>
              </w:rPr>
              <w:t>Adoption and usage</w:t>
            </w:r>
          </w:p>
        </w:tc>
        <w:tc>
          <w:tcPr>
            <w:tcW w:type="dxa" w:w="3312"/>
            <w:vAlign w:val="center"/>
            <w:shd w:fill="F1F5F9"/>
          </w:tcPr>
          <w:p>
            <w:pPr>
              <w:spacing w:after="20"/>
            </w:pPr>
            <w:r/>
            <w:r>
              <w:rPr>
                <w:rFonts w:ascii="Aptos" w:hAnsi="Aptos"/>
                <w:b w:val="0"/>
                <w:sz w:val="17"/>
              </w:rPr>
              <w:t>Applications submitted; completed transactions; active users if published; online share of total applications.</w:t>
            </w:r>
          </w:p>
        </w:tc>
        <w:tc>
          <w:tcPr>
            <w:tcW w:type="dxa" w:w="3312"/>
            <w:vAlign w:val="center"/>
            <w:shd w:fill="F1F5F9"/>
          </w:tcPr>
          <w:p>
            <w:pPr>
              <w:spacing w:after="20"/>
            </w:pPr>
            <w:r/>
            <w:r>
              <w:rPr>
                <w:rFonts w:ascii="Aptos" w:hAnsi="Aptos"/>
                <w:b w:val="0"/>
                <w:sz w:val="17"/>
              </w:rPr>
              <w:t>Track uptake and changes over time.</w:t>
            </w:r>
          </w:p>
        </w:tc>
      </w:tr>
      <w:tr>
        <w:tc>
          <w:tcPr>
            <w:tcW w:type="dxa" w:w="3312"/>
            <w:vAlign w:val="center"/>
          </w:tcPr>
          <w:p>
            <w:pPr>
              <w:spacing w:after="20"/>
            </w:pPr>
            <w:r/>
            <w:r>
              <w:rPr>
                <w:rFonts w:ascii="Aptos" w:hAnsi="Aptos"/>
                <w:b w:val="0"/>
                <w:sz w:val="17"/>
              </w:rPr>
              <w:t>Timeliness</w:t>
            </w:r>
          </w:p>
        </w:tc>
        <w:tc>
          <w:tcPr>
            <w:tcW w:type="dxa" w:w="3312"/>
            <w:vAlign w:val="center"/>
          </w:tcPr>
          <w:p>
            <w:pPr>
              <w:spacing w:after="20"/>
            </w:pPr>
            <w:r/>
            <w:r>
              <w:rPr>
                <w:rFonts w:ascii="Aptos" w:hAnsi="Aptos"/>
                <w:b w:val="0"/>
                <w:sz w:val="17"/>
              </w:rPr>
              <w:t>Median/mean processing time; share completed within service-level target; pending applications by age band.</w:t>
            </w:r>
          </w:p>
        </w:tc>
        <w:tc>
          <w:tcPr>
            <w:tcW w:type="dxa" w:w="3312"/>
            <w:vAlign w:val="center"/>
          </w:tcPr>
          <w:p>
            <w:pPr>
              <w:spacing w:after="20"/>
            </w:pPr>
            <w:r/>
            <w:r>
              <w:rPr>
                <w:rFonts w:ascii="Aptos" w:hAnsi="Aptos"/>
                <w:b w:val="0"/>
                <w:sz w:val="17"/>
              </w:rPr>
              <w:t>Identify delay patterns and possible bottlenecks.</w:t>
            </w:r>
          </w:p>
        </w:tc>
      </w:tr>
      <w:tr>
        <w:tc>
          <w:tcPr>
            <w:tcW w:type="dxa" w:w="3312"/>
            <w:vAlign w:val="center"/>
            <w:shd w:fill="F1F5F9"/>
          </w:tcPr>
          <w:p>
            <w:pPr>
              <w:spacing w:after="20"/>
            </w:pPr>
            <w:r/>
            <w:r>
              <w:rPr>
                <w:rFonts w:ascii="Aptos" w:hAnsi="Aptos"/>
                <w:b w:val="0"/>
                <w:sz w:val="17"/>
              </w:rPr>
              <w:t>Reliability</w:t>
            </w:r>
          </w:p>
        </w:tc>
        <w:tc>
          <w:tcPr>
            <w:tcW w:type="dxa" w:w="3312"/>
            <w:vAlign w:val="center"/>
            <w:shd w:fill="F1F5F9"/>
          </w:tcPr>
          <w:p>
            <w:pPr>
              <w:spacing w:after="20"/>
            </w:pPr>
            <w:r/>
            <w:r>
              <w:rPr>
                <w:rFonts w:ascii="Aptos" w:hAnsi="Aptos"/>
                <w:b w:val="0"/>
                <w:sz w:val="17"/>
              </w:rPr>
              <w:t>Portal uptime; failed transactions; service interruptions; application rejection rate, where published.</w:t>
            </w:r>
          </w:p>
        </w:tc>
        <w:tc>
          <w:tcPr>
            <w:tcW w:type="dxa" w:w="3312"/>
            <w:vAlign w:val="center"/>
            <w:shd w:fill="F1F5F9"/>
          </w:tcPr>
          <w:p>
            <w:pPr>
              <w:spacing w:after="20"/>
            </w:pPr>
            <w:r/>
            <w:r>
              <w:rPr>
                <w:rFonts w:ascii="Aptos" w:hAnsi="Aptos"/>
                <w:b w:val="0"/>
                <w:sz w:val="17"/>
              </w:rPr>
              <w:t>Assess operational continuity and friction.</w:t>
            </w:r>
          </w:p>
        </w:tc>
      </w:tr>
      <w:tr>
        <w:tc>
          <w:tcPr>
            <w:tcW w:type="dxa" w:w="3312"/>
            <w:vAlign w:val="center"/>
          </w:tcPr>
          <w:p>
            <w:pPr>
              <w:spacing w:after="20"/>
            </w:pPr>
            <w:r/>
            <w:r>
              <w:rPr>
                <w:rFonts w:ascii="Aptos" w:hAnsi="Aptos"/>
                <w:b w:val="0"/>
                <w:sz w:val="17"/>
              </w:rPr>
              <w:t>Grievance handling</w:t>
            </w:r>
          </w:p>
        </w:tc>
        <w:tc>
          <w:tcPr>
            <w:tcW w:type="dxa" w:w="3312"/>
            <w:vAlign w:val="center"/>
          </w:tcPr>
          <w:p>
            <w:pPr>
              <w:spacing w:after="20"/>
            </w:pPr>
            <w:r/>
            <w:r>
              <w:rPr>
                <w:rFonts w:ascii="Aptos" w:hAnsi="Aptos"/>
                <w:b w:val="0"/>
                <w:sz w:val="17"/>
              </w:rPr>
              <w:t>Complaints received; resolved; resolution time; reopened cases; backlog.</w:t>
            </w:r>
          </w:p>
        </w:tc>
        <w:tc>
          <w:tcPr>
            <w:tcW w:type="dxa" w:w="3312"/>
            <w:vAlign w:val="center"/>
          </w:tcPr>
          <w:p>
            <w:pPr>
              <w:spacing w:after="20"/>
            </w:pPr>
            <w:r/>
            <w:r>
              <w:rPr>
                <w:rFonts w:ascii="Aptos" w:hAnsi="Aptos"/>
                <w:b w:val="0"/>
                <w:sz w:val="17"/>
              </w:rPr>
              <w:t>Assess responsiveness, while checking how 'resolved' is defined.</w:t>
            </w:r>
          </w:p>
        </w:tc>
      </w:tr>
      <w:tr>
        <w:tc>
          <w:tcPr>
            <w:tcW w:type="dxa" w:w="3312"/>
            <w:vAlign w:val="center"/>
            <w:shd w:fill="F1F5F9"/>
          </w:tcPr>
          <w:p>
            <w:pPr>
              <w:spacing w:after="20"/>
            </w:pPr>
            <w:r/>
            <w:r>
              <w:rPr>
                <w:rFonts w:ascii="Aptos" w:hAnsi="Aptos"/>
                <w:b w:val="0"/>
                <w:sz w:val="17"/>
              </w:rPr>
              <w:t>Inclusion and access</w:t>
            </w:r>
          </w:p>
        </w:tc>
        <w:tc>
          <w:tcPr>
            <w:tcW w:type="dxa" w:w="3312"/>
            <w:vAlign w:val="center"/>
            <w:shd w:fill="F1F5F9"/>
          </w:tcPr>
          <w:p>
            <w:pPr>
              <w:spacing w:after="20"/>
            </w:pPr>
            <w:r/>
            <w:r>
              <w:rPr>
                <w:rFonts w:ascii="Aptos" w:hAnsi="Aptos"/>
                <w:b w:val="0"/>
                <w:sz w:val="17"/>
              </w:rPr>
              <w:t>Internet access/connectivity indicators; rural/urban coverage; accessibility features; language availability; assisted-service availability.</w:t>
            </w:r>
          </w:p>
        </w:tc>
        <w:tc>
          <w:tcPr>
            <w:tcW w:type="dxa" w:w="3312"/>
            <w:vAlign w:val="center"/>
            <w:shd w:fill="F1F5F9"/>
          </w:tcPr>
          <w:p>
            <w:pPr>
              <w:spacing w:after="20"/>
            </w:pPr>
            <w:r/>
            <w:r>
              <w:rPr>
                <w:rFonts w:ascii="Aptos" w:hAnsi="Aptos"/>
                <w:b w:val="0"/>
                <w:sz w:val="17"/>
              </w:rPr>
              <w:t>Identify possible barriers; use aggregate measures only.</w:t>
            </w:r>
          </w:p>
        </w:tc>
      </w:tr>
      <w:tr>
        <w:tc>
          <w:tcPr>
            <w:tcW w:type="dxa" w:w="3312"/>
            <w:vAlign w:val="center"/>
          </w:tcPr>
          <w:p>
            <w:pPr>
              <w:spacing w:after="20"/>
            </w:pPr>
            <w:r/>
            <w:r>
              <w:rPr>
                <w:rFonts w:ascii="Aptos" w:hAnsi="Aptos"/>
                <w:b w:val="0"/>
                <w:sz w:val="17"/>
              </w:rPr>
              <w:t>Transparency and accountability</w:t>
            </w:r>
          </w:p>
        </w:tc>
        <w:tc>
          <w:tcPr>
            <w:tcW w:type="dxa" w:w="3312"/>
            <w:vAlign w:val="center"/>
          </w:tcPr>
          <w:p>
            <w:pPr>
              <w:spacing w:after="20"/>
            </w:pPr>
            <w:r/>
            <w:r>
              <w:rPr>
                <w:rFonts w:ascii="Aptos" w:hAnsi="Aptos"/>
                <w:b w:val="0"/>
                <w:sz w:val="17"/>
              </w:rPr>
              <w:t>Availability of service standards, fees, process steps, status tracking, and published performance reports.</w:t>
            </w:r>
          </w:p>
        </w:tc>
        <w:tc>
          <w:tcPr>
            <w:tcW w:type="dxa" w:w="3312"/>
            <w:vAlign w:val="center"/>
          </w:tcPr>
          <w:p>
            <w:pPr>
              <w:spacing w:after="20"/>
            </w:pPr>
            <w:r/>
            <w:r>
              <w:rPr>
                <w:rFonts w:ascii="Aptos" w:hAnsi="Aptos"/>
                <w:b w:val="0"/>
                <w:sz w:val="17"/>
              </w:rPr>
              <w:t>Assess whether users can understand and monitor services.</w:t>
            </w:r>
          </w:p>
        </w:tc>
      </w:tr>
      <w:tr>
        <w:tc>
          <w:tcPr>
            <w:tcW w:type="dxa" w:w="3312"/>
            <w:vAlign w:val="center"/>
            <w:shd w:fill="F1F5F9"/>
          </w:tcPr>
          <w:p>
            <w:pPr>
              <w:spacing w:after="20"/>
            </w:pPr>
            <w:r/>
            <w:r>
              <w:rPr>
                <w:rFonts w:ascii="Aptos" w:hAnsi="Aptos"/>
                <w:b w:val="0"/>
                <w:sz w:val="17"/>
              </w:rPr>
              <w:t>Context variables</w:t>
            </w:r>
          </w:p>
        </w:tc>
        <w:tc>
          <w:tcPr>
            <w:tcW w:type="dxa" w:w="3312"/>
            <w:vAlign w:val="center"/>
            <w:shd w:fill="F1F5F9"/>
          </w:tcPr>
          <w:p>
            <w:pPr>
              <w:spacing w:after="20"/>
            </w:pPr>
            <w:r/>
            <w:r>
              <w:rPr>
                <w:rFonts w:ascii="Aptos" w:hAnsi="Aptos"/>
                <w:b w:val="0"/>
                <w:sz w:val="17"/>
              </w:rPr>
              <w:t>Population, urbanization, literacy, connectivity, and other relevant aggregate indicators.</w:t>
            </w:r>
          </w:p>
        </w:tc>
        <w:tc>
          <w:tcPr>
            <w:tcW w:type="dxa" w:w="3312"/>
            <w:vAlign w:val="center"/>
            <w:shd w:fill="F1F5F9"/>
          </w:tcPr>
          <w:p>
            <w:pPr>
              <w:spacing w:after="20"/>
            </w:pPr>
            <w:r/>
            <w:r>
              <w:rPr>
                <w:rFonts w:ascii="Aptos" w:hAnsi="Aptos"/>
                <w:b w:val="0"/>
                <w:sz w:val="17"/>
              </w:rPr>
              <w:t>Provide context; avoid treating context variables as proof of causation.</w:t>
            </w:r>
          </w:p>
        </w:tc>
      </w:tr>
    </w:tbl>
    <w:p/>
    <w:p>
      <w:pPr>
        <w:pStyle w:val="Heading2"/>
      </w:pPr>
      <w:r>
        <w:t>4.1 Minimum data dictionary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Field</w:t>
            </w:r>
          </w:p>
        </w:tc>
        <w:tc>
          <w:tcPr>
            <w:tcW w:type="dxa" w:w="4968"/>
            <w:vAlign w:val="center"/>
            <w:shd w:fill="17365D"/>
          </w:tcPr>
          <w:p>
            <w:pPr>
              <w:spacing w:after="20"/>
            </w:pPr>
            <w:r/>
            <w:r>
              <w:rPr>
                <w:rFonts w:ascii="Aptos" w:hAnsi="Aptos"/>
                <w:b/>
                <w:color w:val="FFFFFF"/>
                <w:sz w:val="18"/>
              </w:rPr>
              <w:t>Description / rule</w:t>
            </w:r>
          </w:p>
        </w:tc>
      </w:tr>
      <w:tr>
        <w:tc>
          <w:tcPr>
            <w:tcW w:type="dxa" w:w="4968"/>
            <w:vAlign w:val="center"/>
          </w:tcPr>
          <w:p>
            <w:pPr>
              <w:spacing w:after="20"/>
            </w:pPr>
            <w:r/>
            <w:r>
              <w:rPr>
                <w:rFonts w:ascii="Aptos" w:hAnsi="Aptos"/>
                <w:b w:val="0"/>
                <w:sz w:val="17"/>
              </w:rPr>
              <w:t>source_name</w:t>
            </w:r>
          </w:p>
        </w:tc>
        <w:tc>
          <w:tcPr>
            <w:tcW w:type="dxa" w:w="4968"/>
            <w:vAlign w:val="center"/>
          </w:tcPr>
          <w:p>
            <w:pPr>
              <w:spacing w:after="20"/>
            </w:pPr>
            <w:r/>
            <w:r>
              <w:rPr>
                <w:rFonts w:ascii="Aptos" w:hAnsi="Aptos"/>
                <w:b w:val="0"/>
                <w:sz w:val="17"/>
              </w:rPr>
              <w:t>Official name of dataset, portal, or report.</w:t>
            </w:r>
          </w:p>
        </w:tc>
      </w:tr>
      <w:tr>
        <w:tc>
          <w:tcPr>
            <w:tcW w:type="dxa" w:w="4968"/>
            <w:vAlign w:val="center"/>
            <w:shd w:fill="F1F5F9"/>
          </w:tcPr>
          <w:p>
            <w:pPr>
              <w:spacing w:after="20"/>
            </w:pPr>
            <w:r/>
            <w:r>
              <w:rPr>
                <w:rFonts w:ascii="Aptos" w:hAnsi="Aptos"/>
                <w:b w:val="0"/>
                <w:sz w:val="17"/>
              </w:rPr>
              <w:t>source_url</w:t>
            </w:r>
          </w:p>
        </w:tc>
        <w:tc>
          <w:tcPr>
            <w:tcW w:type="dxa" w:w="4968"/>
            <w:vAlign w:val="center"/>
            <w:shd w:fill="F1F5F9"/>
          </w:tcPr>
          <w:p>
            <w:pPr>
              <w:spacing w:after="20"/>
            </w:pPr>
            <w:r/>
            <w:r>
              <w:rPr>
                <w:rFonts w:ascii="Aptos" w:hAnsi="Aptos"/>
                <w:b w:val="0"/>
                <w:sz w:val="17"/>
              </w:rPr>
              <w:t>Direct URL and access date.</w:t>
            </w:r>
          </w:p>
        </w:tc>
      </w:tr>
      <w:tr>
        <w:tc>
          <w:tcPr>
            <w:tcW w:type="dxa" w:w="4968"/>
            <w:vAlign w:val="center"/>
          </w:tcPr>
          <w:p>
            <w:pPr>
              <w:spacing w:after="20"/>
            </w:pPr>
            <w:r/>
            <w:r>
              <w:rPr>
                <w:rFonts w:ascii="Aptos" w:hAnsi="Aptos"/>
                <w:b w:val="0"/>
                <w:sz w:val="17"/>
              </w:rPr>
              <w:t>indicator_name</w:t>
            </w:r>
          </w:p>
        </w:tc>
        <w:tc>
          <w:tcPr>
            <w:tcW w:type="dxa" w:w="4968"/>
            <w:vAlign w:val="center"/>
          </w:tcPr>
          <w:p>
            <w:pPr>
              <w:spacing w:after="20"/>
            </w:pPr>
            <w:r/>
            <w:r>
              <w:rPr>
                <w:rFonts w:ascii="Aptos" w:hAnsi="Aptos"/>
                <w:b w:val="0"/>
                <w:sz w:val="17"/>
              </w:rPr>
              <w:t>Stable, human-readable indicator label.</w:t>
            </w:r>
          </w:p>
        </w:tc>
      </w:tr>
      <w:tr>
        <w:tc>
          <w:tcPr>
            <w:tcW w:type="dxa" w:w="4968"/>
            <w:vAlign w:val="center"/>
            <w:shd w:fill="F1F5F9"/>
          </w:tcPr>
          <w:p>
            <w:pPr>
              <w:spacing w:after="20"/>
            </w:pPr>
            <w:r/>
            <w:r>
              <w:rPr>
                <w:rFonts w:ascii="Aptos" w:hAnsi="Aptos"/>
                <w:b w:val="0"/>
                <w:sz w:val="17"/>
              </w:rPr>
              <w:t>definition</w:t>
            </w:r>
          </w:p>
        </w:tc>
        <w:tc>
          <w:tcPr>
            <w:tcW w:type="dxa" w:w="4968"/>
            <w:vAlign w:val="center"/>
            <w:shd w:fill="F1F5F9"/>
          </w:tcPr>
          <w:p>
            <w:pPr>
              <w:spacing w:after="20"/>
            </w:pPr>
            <w:r/>
            <w:r>
              <w:rPr>
                <w:rFonts w:ascii="Aptos" w:hAnsi="Aptos"/>
                <w:b w:val="0"/>
                <w:sz w:val="17"/>
              </w:rPr>
              <w:t>Exact source definition; preserve original wording in notes.</w:t>
            </w:r>
          </w:p>
        </w:tc>
      </w:tr>
      <w:tr>
        <w:tc>
          <w:tcPr>
            <w:tcW w:type="dxa" w:w="4968"/>
            <w:vAlign w:val="center"/>
          </w:tcPr>
          <w:p>
            <w:pPr>
              <w:spacing w:after="20"/>
            </w:pPr>
            <w:r/>
            <w:r>
              <w:rPr>
                <w:rFonts w:ascii="Aptos" w:hAnsi="Aptos"/>
                <w:b w:val="0"/>
                <w:sz w:val="17"/>
              </w:rPr>
              <w:t>period</w:t>
            </w:r>
          </w:p>
        </w:tc>
        <w:tc>
          <w:tcPr>
            <w:tcW w:type="dxa" w:w="4968"/>
            <w:vAlign w:val="center"/>
          </w:tcPr>
          <w:p>
            <w:pPr>
              <w:spacing w:after="20"/>
            </w:pPr>
            <w:r/>
            <w:r>
              <w:rPr>
                <w:rFonts w:ascii="Aptos" w:hAnsi="Aptos"/>
                <w:b w:val="0"/>
                <w:sz w:val="17"/>
              </w:rPr>
              <w:t>Month, quarter, or year; store consistently and document conversions.</w:t>
            </w:r>
          </w:p>
        </w:tc>
      </w:tr>
      <w:tr>
        <w:tc>
          <w:tcPr>
            <w:tcW w:type="dxa" w:w="4968"/>
            <w:vAlign w:val="center"/>
            <w:shd w:fill="F1F5F9"/>
          </w:tcPr>
          <w:p>
            <w:pPr>
              <w:spacing w:after="20"/>
            </w:pPr>
            <w:r/>
            <w:r>
              <w:rPr>
                <w:rFonts w:ascii="Aptos" w:hAnsi="Aptos"/>
                <w:b w:val="0"/>
                <w:sz w:val="17"/>
              </w:rPr>
              <w:t>geography</w:t>
            </w:r>
          </w:p>
        </w:tc>
        <w:tc>
          <w:tcPr>
            <w:tcW w:type="dxa" w:w="4968"/>
            <w:vAlign w:val="center"/>
            <w:shd w:fill="F1F5F9"/>
          </w:tcPr>
          <w:p>
            <w:pPr>
              <w:spacing w:after="20"/>
            </w:pPr>
            <w:r/>
            <w:r>
              <w:rPr>
                <w:rFonts w:ascii="Aptos" w:hAnsi="Aptos"/>
                <w:b w:val="0"/>
                <w:sz w:val="17"/>
              </w:rPr>
              <w:t>State, district, national, or other published geographic level.</w:t>
            </w:r>
          </w:p>
        </w:tc>
      </w:tr>
      <w:tr>
        <w:tc>
          <w:tcPr>
            <w:tcW w:type="dxa" w:w="4968"/>
            <w:vAlign w:val="center"/>
          </w:tcPr>
          <w:p>
            <w:pPr>
              <w:spacing w:after="20"/>
            </w:pPr>
            <w:r/>
            <w:r>
              <w:rPr>
                <w:rFonts w:ascii="Aptos" w:hAnsi="Aptos"/>
                <w:b w:val="0"/>
                <w:sz w:val="17"/>
              </w:rPr>
              <w:t>value</w:t>
            </w:r>
          </w:p>
        </w:tc>
        <w:tc>
          <w:tcPr>
            <w:tcW w:type="dxa" w:w="4968"/>
            <w:vAlign w:val="center"/>
          </w:tcPr>
          <w:p>
            <w:pPr>
              <w:spacing w:after="20"/>
            </w:pPr>
            <w:r/>
            <w:r>
              <w:rPr>
                <w:rFonts w:ascii="Aptos" w:hAnsi="Aptos"/>
                <w:b w:val="0"/>
                <w:sz w:val="17"/>
              </w:rPr>
              <w:t>Numeric measure, with its unit and denominator documented.</w:t>
            </w:r>
          </w:p>
        </w:tc>
      </w:tr>
      <w:tr>
        <w:tc>
          <w:tcPr>
            <w:tcW w:type="dxa" w:w="4968"/>
            <w:vAlign w:val="center"/>
            <w:shd w:fill="F1F5F9"/>
          </w:tcPr>
          <w:p>
            <w:pPr>
              <w:spacing w:after="20"/>
            </w:pPr>
            <w:r/>
            <w:r>
              <w:rPr>
                <w:rFonts w:ascii="Aptos" w:hAnsi="Aptos"/>
                <w:b w:val="0"/>
                <w:sz w:val="17"/>
              </w:rPr>
              <w:t>coverage_note</w:t>
            </w:r>
          </w:p>
        </w:tc>
        <w:tc>
          <w:tcPr>
            <w:tcW w:type="dxa" w:w="4968"/>
            <w:vAlign w:val="center"/>
            <w:shd w:fill="F1F5F9"/>
          </w:tcPr>
          <w:p>
            <w:pPr>
              <w:spacing w:after="20"/>
            </w:pPr>
            <w:r/>
            <w:r>
              <w:rPr>
                <w:rFonts w:ascii="Aptos" w:hAnsi="Aptos"/>
                <w:b w:val="0"/>
                <w:sz w:val="17"/>
              </w:rPr>
              <w:t>Known omissions, scope restrictions, or changes in collection.</w:t>
            </w:r>
          </w:p>
        </w:tc>
      </w:tr>
      <w:tr>
        <w:tc>
          <w:tcPr>
            <w:tcW w:type="dxa" w:w="4968"/>
            <w:vAlign w:val="center"/>
          </w:tcPr>
          <w:p>
            <w:pPr>
              <w:spacing w:after="20"/>
            </w:pPr>
            <w:r/>
            <w:r>
              <w:rPr>
                <w:rFonts w:ascii="Aptos" w:hAnsi="Aptos"/>
                <w:b w:val="0"/>
                <w:sz w:val="17"/>
              </w:rPr>
              <w:t>license_terms</w:t>
            </w:r>
          </w:p>
        </w:tc>
        <w:tc>
          <w:tcPr>
            <w:tcW w:type="dxa" w:w="4968"/>
            <w:vAlign w:val="center"/>
          </w:tcPr>
          <w:p>
            <w:pPr>
              <w:spacing w:after="20"/>
            </w:pPr>
            <w:r/>
            <w:r>
              <w:rPr>
                <w:rFonts w:ascii="Aptos" w:hAnsi="Aptos"/>
                <w:b w:val="0"/>
                <w:sz w:val="17"/>
              </w:rPr>
              <w:t>Applicable reuse and attribution requirements.</w:t>
            </w:r>
          </w:p>
        </w:tc>
      </w:tr>
      <w:tr>
        <w:tc>
          <w:tcPr>
            <w:tcW w:type="dxa" w:w="4968"/>
            <w:vAlign w:val="center"/>
            <w:shd w:fill="F1F5F9"/>
          </w:tcPr>
          <w:p>
            <w:pPr>
              <w:spacing w:after="20"/>
            </w:pPr>
            <w:r/>
            <w:r>
              <w:rPr>
                <w:rFonts w:ascii="Aptos" w:hAnsi="Aptos"/>
                <w:b w:val="0"/>
                <w:sz w:val="17"/>
              </w:rPr>
              <w:t>quality_flag</w:t>
            </w:r>
          </w:p>
        </w:tc>
        <w:tc>
          <w:tcPr>
            <w:tcW w:type="dxa" w:w="4968"/>
            <w:vAlign w:val="center"/>
            <w:shd w:fill="F1F5F9"/>
          </w:tcPr>
          <w:p>
            <w:pPr>
              <w:spacing w:after="20"/>
            </w:pPr>
            <w:r/>
            <w:r>
              <w:rPr>
                <w:rFonts w:ascii="Aptos" w:hAnsi="Aptos"/>
                <w:b w:val="0"/>
                <w:sz w:val="17"/>
              </w:rPr>
              <w:t>Missing, estimated, revised, suppressed, or otherwise qualified value.</w:t>
            </w:r>
          </w:p>
        </w:tc>
      </w:tr>
    </w:tbl>
    <w:p/>
    <w:p>
      <w:pPr>
        <w:pStyle w:val="Heading1"/>
      </w:pPr>
      <w:r>
        <w:t>5. Public Data Sources and Selection Rationale</w:t>
      </w:r>
    </w:p>
    <w:p>
      <w:r>
        <w:t>Source selection will prioritize official origin, clear metadata, relevance to the research questions, repeated observations, downloadable formats, transparent methodology, and legal reuse terms. The project should record both the dataset page and the specific file/API endpoint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Source</w:t>
            </w:r>
          </w:p>
        </w:tc>
        <w:tc>
          <w:tcPr>
            <w:tcW w:type="dxa" w:w="3312"/>
            <w:vAlign w:val="center"/>
            <w:shd w:fill="17365D"/>
          </w:tcPr>
          <w:p>
            <w:pPr>
              <w:spacing w:after="20"/>
            </w:pPr>
            <w:r/>
            <w:r>
              <w:rPr>
                <w:rFonts w:ascii="Aptos" w:hAnsi="Aptos"/>
                <w:b/>
                <w:color w:val="FFFFFF"/>
                <w:sz w:val="18"/>
              </w:rPr>
              <w:t>Potential use</w:t>
            </w:r>
          </w:p>
        </w:tc>
        <w:tc>
          <w:tcPr>
            <w:tcW w:type="dxa" w:w="3312"/>
            <w:vAlign w:val="center"/>
            <w:shd w:fill="17365D"/>
          </w:tcPr>
          <w:p>
            <w:pPr>
              <w:spacing w:after="20"/>
            </w:pPr>
            <w:r/>
            <w:r>
              <w:rPr>
                <w:rFonts w:ascii="Aptos" w:hAnsi="Aptos"/>
                <w:b/>
                <w:color w:val="FFFFFF"/>
                <w:sz w:val="18"/>
              </w:rPr>
              <w:t>Strengths and cautions</w:t>
            </w:r>
          </w:p>
        </w:tc>
      </w:tr>
      <w:tr>
        <w:tc>
          <w:tcPr>
            <w:tcW w:type="dxa" w:w="3312"/>
            <w:vAlign w:val="center"/>
          </w:tcPr>
          <w:p>
            <w:pPr>
              <w:spacing w:after="20"/>
            </w:pPr>
            <w:r/>
            <w:r>
              <w:rPr>
                <w:rFonts w:ascii="Aptos" w:hAnsi="Aptos"/>
                <w:b w:val="0"/>
                <w:sz w:val="17"/>
              </w:rPr>
              <w:t>Open Government Data Platform India — https://data.gov.in/</w:t>
            </w:r>
          </w:p>
        </w:tc>
        <w:tc>
          <w:tcPr>
            <w:tcW w:type="dxa" w:w="3312"/>
            <w:vAlign w:val="center"/>
          </w:tcPr>
          <w:p>
            <w:pPr>
              <w:spacing w:after="20"/>
            </w:pPr>
            <w:r/>
            <w:r>
              <w:rPr>
                <w:rFonts w:ascii="Aptos" w:hAnsi="Aptos"/>
                <w:b w:val="0"/>
                <w:sz w:val="17"/>
              </w:rPr>
              <w:t>Search for datasets on ICT, service delivery, education, health, grievances, demographics, and state-level indicators.</w:t>
            </w:r>
          </w:p>
        </w:tc>
        <w:tc>
          <w:tcPr>
            <w:tcW w:type="dxa" w:w="3312"/>
            <w:vAlign w:val="center"/>
          </w:tcPr>
          <w:p>
            <w:pPr>
              <w:spacing w:after="20"/>
            </w:pPr>
            <w:r/>
            <w:r>
              <w:rPr>
                <w:rFonts w:ascii="Aptos" w:hAnsi="Aptos"/>
                <w:b w:val="0"/>
                <w:sz w:val="17"/>
              </w:rPr>
              <w:t>Government-hosted catalogue and API resources. Dataset ownership, update frequency, licensing, and completeness vary by resource.</w:t>
            </w:r>
          </w:p>
        </w:tc>
      </w:tr>
      <w:tr>
        <w:tc>
          <w:tcPr>
            <w:tcW w:type="dxa" w:w="3312"/>
            <w:vAlign w:val="center"/>
            <w:shd w:fill="F1F5F9"/>
          </w:tcPr>
          <w:p>
            <w:pPr>
              <w:spacing w:after="20"/>
            </w:pPr>
            <w:r/>
            <w:r>
              <w:rPr>
                <w:rFonts w:ascii="Aptos" w:hAnsi="Aptos"/>
                <w:b w:val="0"/>
                <w:sz w:val="17"/>
              </w:rPr>
              <w:t>World Bank GovTech Dataset / GTMI — https://www.worldbank.org/en/programs/govtech/gtmi-2025-update</w:t>
            </w:r>
          </w:p>
        </w:tc>
        <w:tc>
          <w:tcPr>
            <w:tcW w:type="dxa" w:w="3312"/>
            <w:vAlign w:val="center"/>
            <w:shd w:fill="F1F5F9"/>
          </w:tcPr>
          <w:p>
            <w:pPr>
              <w:spacing w:after="20"/>
            </w:pPr>
            <w:r/>
            <w:r>
              <w:rPr>
                <w:rFonts w:ascii="Aptos" w:hAnsi="Aptos"/>
                <w:b w:val="0"/>
                <w:sz w:val="17"/>
              </w:rPr>
              <w:t>International context on core government systems, online public services, digital engagement, and enabling conditions.</w:t>
            </w:r>
          </w:p>
        </w:tc>
        <w:tc>
          <w:tcPr>
            <w:tcW w:type="dxa" w:w="3312"/>
            <w:vAlign w:val="center"/>
            <w:shd w:fill="F1F5F9"/>
          </w:tcPr>
          <w:p>
            <w:pPr>
              <w:spacing w:after="20"/>
            </w:pPr>
            <w:r/>
            <w:r>
              <w:rPr>
                <w:rFonts w:ascii="Aptos" w:hAnsi="Aptos"/>
                <w:b w:val="0"/>
                <w:sz w:val="17"/>
              </w:rPr>
              <w:t>Structured cross-country framework. It is a maturity overview, not a direct measure of the quality of one local service.</w:t>
            </w:r>
          </w:p>
        </w:tc>
      </w:tr>
      <w:tr>
        <w:tc>
          <w:tcPr>
            <w:tcW w:type="dxa" w:w="3312"/>
            <w:vAlign w:val="center"/>
          </w:tcPr>
          <w:p>
            <w:pPr>
              <w:spacing w:after="20"/>
            </w:pPr>
            <w:r/>
            <w:r>
              <w:rPr>
                <w:rFonts w:ascii="Aptos" w:hAnsi="Aptos"/>
                <w:b w:val="0"/>
                <w:sz w:val="17"/>
              </w:rPr>
              <w:t>World Bank Data Catalog — GovTech Dataset — https://datacatalog.worldbank.org/search/dataset/0037889/govtech-dataset</w:t>
            </w:r>
          </w:p>
        </w:tc>
        <w:tc>
          <w:tcPr>
            <w:tcW w:type="dxa" w:w="3312"/>
            <w:vAlign w:val="center"/>
          </w:tcPr>
          <w:p>
            <w:pPr>
              <w:spacing w:after="20"/>
            </w:pPr>
            <w:r/>
            <w:r>
              <w:rPr>
                <w:rFonts w:ascii="Aptos" w:hAnsi="Aptos"/>
                <w:b w:val="0"/>
                <w:sz w:val="17"/>
              </w:rPr>
              <w:t>Download dataset files and review metadata and licensing.</w:t>
            </w:r>
          </w:p>
        </w:tc>
        <w:tc>
          <w:tcPr>
            <w:tcW w:type="dxa" w:w="3312"/>
            <w:vAlign w:val="center"/>
          </w:tcPr>
          <w:p>
            <w:pPr>
              <w:spacing w:after="20"/>
            </w:pPr>
            <w:r/>
            <w:r>
              <w:rPr>
                <w:rFonts w:ascii="Aptos" w:hAnsi="Aptos"/>
                <w:b w:val="0"/>
                <w:sz w:val="17"/>
              </w:rPr>
              <w:t>Public dataset with documented editions; ensure the selected edition and indicator definitions match the analysis period.</w:t>
            </w:r>
          </w:p>
        </w:tc>
      </w:tr>
      <w:tr>
        <w:tc>
          <w:tcPr>
            <w:tcW w:type="dxa" w:w="3312"/>
            <w:vAlign w:val="center"/>
            <w:shd w:fill="F1F5F9"/>
          </w:tcPr>
          <w:p>
            <w:pPr>
              <w:spacing w:after="20"/>
            </w:pPr>
            <w:r/>
            <w:r>
              <w:rPr>
                <w:rFonts w:ascii="Aptos" w:hAnsi="Aptos"/>
                <w:b w:val="0"/>
                <w:sz w:val="17"/>
              </w:rPr>
              <w:t>Relevant ministry, state, or service portal reports</w:t>
            </w:r>
          </w:p>
        </w:tc>
        <w:tc>
          <w:tcPr>
            <w:tcW w:type="dxa" w:w="3312"/>
            <w:vAlign w:val="center"/>
            <w:shd w:fill="F1F5F9"/>
          </w:tcPr>
          <w:p>
            <w:pPr>
              <w:spacing w:after="20"/>
            </w:pPr>
            <w:r/>
            <w:r>
              <w:rPr>
                <w:rFonts w:ascii="Aptos" w:hAnsi="Aptos"/>
                <w:b w:val="0"/>
                <w:sz w:val="17"/>
              </w:rPr>
              <w:t>Operational counts, service standards, annual performance, transaction volumes, and grievance metrics.</w:t>
            </w:r>
          </w:p>
        </w:tc>
        <w:tc>
          <w:tcPr>
            <w:tcW w:type="dxa" w:w="3312"/>
            <w:vAlign w:val="center"/>
            <w:shd w:fill="F1F5F9"/>
          </w:tcPr>
          <w:p>
            <w:pPr>
              <w:spacing w:after="20"/>
            </w:pPr>
            <w:r/>
            <w:r>
              <w:rPr>
                <w:rFonts w:ascii="Aptos" w:hAnsi="Aptos"/>
                <w:b w:val="0"/>
                <w:sz w:val="17"/>
              </w:rPr>
              <w:t>May be the closest source to actual service operations, but formats and reporting periods may differ.</w:t>
            </w:r>
          </w:p>
        </w:tc>
      </w:tr>
      <w:tr>
        <w:tc>
          <w:tcPr>
            <w:tcW w:type="dxa" w:w="3312"/>
            <w:vAlign w:val="center"/>
          </w:tcPr>
          <w:p>
            <w:pPr>
              <w:spacing w:after="20"/>
            </w:pPr>
            <w:r/>
            <w:r>
              <w:rPr>
                <w:rFonts w:ascii="Aptos" w:hAnsi="Aptos"/>
                <w:b w:val="0"/>
                <w:sz w:val="17"/>
              </w:rPr>
              <w:t>Telecom/connectivity and demographic statistics from official sources</w:t>
            </w:r>
          </w:p>
        </w:tc>
        <w:tc>
          <w:tcPr>
            <w:tcW w:type="dxa" w:w="3312"/>
            <w:vAlign w:val="center"/>
          </w:tcPr>
          <w:p>
            <w:pPr>
              <w:spacing w:after="20"/>
            </w:pPr>
            <w:r/>
            <w:r>
              <w:rPr>
                <w:rFonts w:ascii="Aptos" w:hAnsi="Aptos"/>
                <w:b w:val="0"/>
                <w:sz w:val="17"/>
              </w:rPr>
              <w:t>Contextual indicators for interpreting access and geographic differences.</w:t>
            </w:r>
          </w:p>
        </w:tc>
        <w:tc>
          <w:tcPr>
            <w:tcW w:type="dxa" w:w="3312"/>
            <w:vAlign w:val="center"/>
          </w:tcPr>
          <w:p>
            <w:pPr>
              <w:spacing w:after="20"/>
            </w:pPr>
            <w:r/>
            <w:r>
              <w:rPr>
                <w:rFonts w:ascii="Aptos" w:hAnsi="Aptos"/>
                <w:b w:val="0"/>
                <w:sz w:val="17"/>
              </w:rPr>
              <w:t>Use only aggregate measures and avoid assuming connectivity alone explains usage.</w:t>
            </w:r>
          </w:p>
        </w:tc>
      </w:tr>
      <w:tr>
        <w:tc>
          <w:tcPr>
            <w:tcW w:type="dxa" w:w="3312"/>
            <w:vAlign w:val="center"/>
            <w:shd w:fill="F1F5F9"/>
          </w:tcPr>
          <w:p>
            <w:pPr>
              <w:spacing w:after="20"/>
            </w:pPr>
            <w:r/>
            <w:r>
              <w:rPr>
                <w:rFonts w:ascii="Aptos" w:hAnsi="Aptos"/>
                <w:b w:val="0"/>
                <w:sz w:val="17"/>
              </w:rPr>
              <w:t>Published research and evaluation reports</w:t>
            </w:r>
          </w:p>
        </w:tc>
        <w:tc>
          <w:tcPr>
            <w:tcW w:type="dxa" w:w="3312"/>
            <w:vAlign w:val="center"/>
            <w:shd w:fill="F1F5F9"/>
          </w:tcPr>
          <w:p>
            <w:pPr>
              <w:spacing w:after="20"/>
            </w:pPr>
            <w:r/>
            <w:r>
              <w:rPr>
                <w:rFonts w:ascii="Aptos" w:hAnsi="Aptos"/>
                <w:b w:val="0"/>
                <w:sz w:val="17"/>
              </w:rPr>
              <w:t>Qualitative context, documented implementation challenges, and comparable definitions.</w:t>
            </w:r>
          </w:p>
        </w:tc>
        <w:tc>
          <w:tcPr>
            <w:tcW w:type="dxa" w:w="3312"/>
            <w:vAlign w:val="center"/>
            <w:shd w:fill="F1F5F9"/>
          </w:tcPr>
          <w:p>
            <w:pPr>
              <w:spacing w:after="20"/>
            </w:pPr>
            <w:r/>
            <w:r>
              <w:rPr>
                <w:rFonts w:ascii="Aptos" w:hAnsi="Aptos"/>
                <w:b w:val="0"/>
                <w:sz w:val="17"/>
              </w:rPr>
              <w:t>Assess methodology and publication date; secondary studies may cover different populations or periods.</w:t>
            </w:r>
          </w:p>
        </w:tc>
      </w:tr>
    </w:tbl>
    <w:p/>
    <w:p>
      <w:r>
        <w:t>Research evidence: India’s Open Government Data Platform is maintained by the National Informatics Centre under the Ministry of Electronics and Information Technology and provides datasets and web-service resources. The World Bank’s 2025 GovTech Maturity Index uses 48 indicators across four focus areas and explicitly presents a diagnostic overview rather than a ranking. These characteristics make the sources useful for discovery and contextual framing, while reinforcing the need to validate each indicator before using it.</w:t>
      </w:r>
    </w:p>
    <w:p>
      <w:pPr>
        <w:pStyle w:val="Heading1"/>
      </w:pPr>
      <w:r>
        <w:t>6. Methodology and Analytical Workflow</w:t>
      </w:r>
    </w:p>
    <w:p>
      <w:pPr>
        <w:pStyle w:val="Heading2"/>
      </w:pPr>
      <w:r>
        <w:t>Phase 1 — Research and source inventory</w:t>
      </w:r>
    </w:p>
    <w:p>
      <w:pPr>
        <w:pStyle w:val="ListNumber"/>
        <w:spacing w:after="60"/>
      </w:pPr>
      <w:r>
        <w:t>Translate research questions into a list of required indicators and minimum acceptable data coverage.</w:t>
      </w:r>
    </w:p>
    <w:p>
      <w:pPr>
        <w:pStyle w:val="ListNumber"/>
        <w:spacing w:after="60"/>
      </w:pPr>
      <w:r>
        <w:t>Search official repositories and service reports; save URLs, download dates, metadata, definitions, units, and licence details.</w:t>
      </w:r>
    </w:p>
    <w:p>
      <w:pPr>
        <w:pStyle w:val="ListNumber"/>
        <w:spacing w:after="60"/>
      </w:pPr>
      <w:r>
        <w:t>Score each candidate source for relevance, authority, accessibility, temporal coverage, geographic coverage, and quality.</w:t>
      </w:r>
    </w:p>
    <w:p>
      <w:pPr>
        <w:pStyle w:val="ListNumber"/>
        <w:spacing w:after="60"/>
      </w:pPr>
      <w:r>
        <w:t>Select a small, manageable set of datasets rather than collecting large volumes of unrelated information.</w:t>
      </w:r>
    </w:p>
    <w:p>
      <w:pPr>
        <w:pStyle w:val="Heading2"/>
      </w:pPr>
      <w:r>
        <w:t>Phase 2 — Data acquisition and management</w:t>
      </w:r>
    </w:p>
    <w:p>
      <w:pPr>
        <w:pStyle w:val="ListNumber"/>
        <w:spacing w:after="60"/>
      </w:pPr>
      <w:r>
        <w:t>Download CSV/XLSX files or use documented APIs where permitted; record query parameters and access dates.</w:t>
      </w:r>
    </w:p>
    <w:p>
      <w:pPr>
        <w:pStyle w:val="ListNumber"/>
        <w:spacing w:after="60"/>
      </w:pPr>
      <w:r>
        <w:t>Store raw files separately and never overwrite them during cleaning.</w:t>
      </w:r>
    </w:p>
    <w:p>
      <w:pPr>
        <w:pStyle w:val="ListNumber"/>
        <w:spacing w:after="60"/>
      </w:pPr>
      <w:r>
        <w:t>Create a reproducible project structure: data/raw, data/processed, notebooks, src, outputs/figures, docs, and README.</w:t>
      </w:r>
    </w:p>
    <w:p>
      <w:pPr>
        <w:pStyle w:val="ListNumber"/>
        <w:spacing w:after="60"/>
      </w:pPr>
      <w:r>
        <w:t>Use only public aggregate data; do not collect personal identifiers or confidential records.</w:t>
      </w:r>
    </w:p>
    <w:p>
      <w:pPr>
        <w:pStyle w:val="Heading2"/>
      </w:pPr>
      <w:r>
        <w:t>Phase 3 — Data quality assessment and cleaning</w:t>
      </w:r>
    </w:p>
    <w:p>
      <w:pPr>
        <w:pStyle w:val="ListNumber"/>
        <w:spacing w:after="60"/>
      </w:pPr>
      <w:r>
        <w:t>Inspect shape, column types, units, date ranges, duplicate rows, unique categories, and missingness.</w:t>
      </w:r>
    </w:p>
    <w:p>
      <w:pPr>
        <w:pStyle w:val="ListNumber"/>
        <w:spacing w:after="60"/>
      </w:pPr>
      <w:r>
        <w:t>Standardize date formats, geographic labels, text encoding, and numeric formats while retaining original values when appropriate.</w:t>
      </w:r>
    </w:p>
    <w:p>
      <w:pPr>
        <w:pStyle w:val="ListNumber"/>
        <w:spacing w:after="60"/>
      </w:pPr>
      <w:r>
        <w:t>Check impossible or suspicious values, such as negative transaction counts or percentages outside 0–100, and investigate rather than silently deleting them.</w:t>
      </w:r>
    </w:p>
    <w:p>
      <w:pPr>
        <w:pStyle w:val="ListNumber"/>
        <w:spacing w:after="60"/>
      </w:pPr>
      <w:r>
        <w:t>Identify duplicate records, revisions, suppressed values, changing definitions, and gaps in time series.</w:t>
      </w:r>
    </w:p>
    <w:p>
      <w:pPr>
        <w:pStyle w:val="ListNumber"/>
        <w:spacing w:after="60"/>
      </w:pPr>
      <w:r>
        <w:t>Maintain a cleaning log documenting each transformation and its reason; use explicit missing-value rules.</w:t>
      </w:r>
    </w:p>
    <w:p>
      <w:pPr>
        <w:pStyle w:val="Heading2"/>
      </w:pPr>
      <w:r>
        <w:t>Phase 4 — Exploratory and statistical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Technique</w:t>
            </w:r>
          </w:p>
        </w:tc>
        <w:tc>
          <w:tcPr>
            <w:tcW w:type="dxa" w:w="3312"/>
            <w:vAlign w:val="center"/>
            <w:shd w:fill="17365D"/>
          </w:tcPr>
          <w:p>
            <w:pPr>
              <w:spacing w:after="20"/>
            </w:pPr>
            <w:r/>
            <w:r>
              <w:rPr>
                <w:rFonts w:ascii="Aptos" w:hAnsi="Aptos"/>
                <w:b/>
                <w:color w:val="FFFFFF"/>
                <w:sz w:val="18"/>
              </w:rPr>
              <w:t>How it will be used</w:t>
            </w:r>
          </w:p>
        </w:tc>
        <w:tc>
          <w:tcPr>
            <w:tcW w:type="dxa" w:w="3312"/>
            <w:vAlign w:val="center"/>
            <w:shd w:fill="17365D"/>
          </w:tcPr>
          <w:p>
            <w:pPr>
              <w:spacing w:after="20"/>
            </w:pPr>
            <w:r/>
            <w:r>
              <w:rPr>
                <w:rFonts w:ascii="Aptos" w:hAnsi="Aptos"/>
                <w:b/>
                <w:color w:val="FFFFFF"/>
                <w:sz w:val="18"/>
              </w:rPr>
              <w:t>Why it is appropriate</w:t>
            </w:r>
          </w:p>
        </w:tc>
      </w:tr>
      <w:tr>
        <w:tc>
          <w:tcPr>
            <w:tcW w:type="dxa" w:w="3312"/>
            <w:vAlign w:val="center"/>
          </w:tcPr>
          <w:p>
            <w:pPr>
              <w:spacing w:after="20"/>
            </w:pPr>
            <w:r/>
            <w:r>
              <w:rPr>
                <w:rFonts w:ascii="Aptos" w:hAnsi="Aptos"/>
                <w:b w:val="0"/>
                <w:sz w:val="17"/>
              </w:rPr>
              <w:t>Descriptive statistics</w:t>
            </w:r>
          </w:p>
        </w:tc>
        <w:tc>
          <w:tcPr>
            <w:tcW w:type="dxa" w:w="3312"/>
            <w:vAlign w:val="center"/>
          </w:tcPr>
          <w:p>
            <w:pPr>
              <w:spacing w:after="20"/>
            </w:pPr>
            <w:r/>
            <w:r>
              <w:rPr>
                <w:rFonts w:ascii="Aptos" w:hAnsi="Aptos"/>
                <w:b w:val="0"/>
                <w:sz w:val="17"/>
              </w:rPr>
              <w:t>Counts, totals, mean, median, range, quartiles, and rates where denominators exist.</w:t>
            </w:r>
          </w:p>
        </w:tc>
        <w:tc>
          <w:tcPr>
            <w:tcW w:type="dxa" w:w="3312"/>
            <w:vAlign w:val="center"/>
          </w:tcPr>
          <w:p>
            <w:pPr>
              <w:spacing w:after="20"/>
            </w:pPr>
            <w:r/>
            <w:r>
              <w:rPr>
                <w:rFonts w:ascii="Aptos" w:hAnsi="Aptos"/>
                <w:b w:val="0"/>
                <w:sz w:val="17"/>
              </w:rPr>
              <w:t>Provides a clear baseline and reveals skew or outliers.</w:t>
            </w:r>
          </w:p>
        </w:tc>
      </w:tr>
      <w:tr>
        <w:tc>
          <w:tcPr>
            <w:tcW w:type="dxa" w:w="3312"/>
            <w:vAlign w:val="center"/>
            <w:shd w:fill="F1F5F9"/>
          </w:tcPr>
          <w:p>
            <w:pPr>
              <w:spacing w:after="20"/>
            </w:pPr>
            <w:r/>
            <w:r>
              <w:rPr>
                <w:rFonts w:ascii="Aptos" w:hAnsi="Aptos"/>
                <w:b w:val="0"/>
                <w:sz w:val="17"/>
              </w:rPr>
              <w:t>Time-series/trend analysis</w:t>
            </w:r>
          </w:p>
        </w:tc>
        <w:tc>
          <w:tcPr>
            <w:tcW w:type="dxa" w:w="3312"/>
            <w:vAlign w:val="center"/>
            <w:shd w:fill="F1F5F9"/>
          </w:tcPr>
          <w:p>
            <w:pPr>
              <w:spacing w:after="20"/>
            </w:pPr>
            <w:r/>
            <w:r>
              <w:rPr>
                <w:rFonts w:ascii="Aptos" w:hAnsi="Aptos"/>
                <w:b w:val="0"/>
                <w:sz w:val="17"/>
              </w:rPr>
              <w:t>Monthly, quarterly, or annual charts; percentage changes where the base is meaningful.</w:t>
            </w:r>
          </w:p>
        </w:tc>
        <w:tc>
          <w:tcPr>
            <w:tcW w:type="dxa" w:w="3312"/>
            <w:vAlign w:val="center"/>
            <w:shd w:fill="F1F5F9"/>
          </w:tcPr>
          <w:p>
            <w:pPr>
              <w:spacing w:after="20"/>
            </w:pPr>
            <w:r/>
            <w:r>
              <w:rPr>
                <w:rFonts w:ascii="Aptos" w:hAnsi="Aptos"/>
                <w:b w:val="0"/>
                <w:sz w:val="17"/>
              </w:rPr>
              <w:t>Shows direction and seasonality where enough observations exist.</w:t>
            </w:r>
          </w:p>
        </w:tc>
      </w:tr>
      <w:tr>
        <w:tc>
          <w:tcPr>
            <w:tcW w:type="dxa" w:w="3312"/>
            <w:vAlign w:val="center"/>
          </w:tcPr>
          <w:p>
            <w:pPr>
              <w:spacing w:after="20"/>
            </w:pPr>
            <w:r/>
            <w:r>
              <w:rPr>
                <w:rFonts w:ascii="Aptos" w:hAnsi="Aptos"/>
                <w:b w:val="0"/>
                <w:sz w:val="17"/>
              </w:rPr>
              <w:t>Group comparisons</w:t>
            </w:r>
          </w:p>
        </w:tc>
        <w:tc>
          <w:tcPr>
            <w:tcW w:type="dxa" w:w="3312"/>
            <w:vAlign w:val="center"/>
          </w:tcPr>
          <w:p>
            <w:pPr>
              <w:spacing w:after="20"/>
            </w:pPr>
            <w:r/>
            <w:r>
              <w:rPr>
                <w:rFonts w:ascii="Aptos" w:hAnsi="Aptos"/>
                <w:b w:val="0"/>
                <w:sz w:val="17"/>
              </w:rPr>
              <w:t>Compare regions or service categories only when definitions, periods, and coverage are comparable.</w:t>
            </w:r>
          </w:p>
        </w:tc>
        <w:tc>
          <w:tcPr>
            <w:tcW w:type="dxa" w:w="3312"/>
            <w:vAlign w:val="center"/>
          </w:tcPr>
          <w:p>
            <w:pPr>
              <w:spacing w:after="20"/>
            </w:pPr>
            <w:r/>
            <w:r>
              <w:rPr>
                <w:rFonts w:ascii="Aptos" w:hAnsi="Aptos"/>
                <w:b w:val="0"/>
                <w:sz w:val="17"/>
              </w:rPr>
              <w:t>Highlights variation without pretending unlike datasets are equivalent.</w:t>
            </w:r>
          </w:p>
        </w:tc>
      </w:tr>
      <w:tr>
        <w:tc>
          <w:tcPr>
            <w:tcW w:type="dxa" w:w="3312"/>
            <w:vAlign w:val="center"/>
            <w:shd w:fill="F1F5F9"/>
          </w:tcPr>
          <w:p>
            <w:pPr>
              <w:spacing w:after="20"/>
            </w:pPr>
            <w:r/>
            <w:r>
              <w:rPr>
                <w:rFonts w:ascii="Aptos" w:hAnsi="Aptos"/>
                <w:b w:val="0"/>
                <w:sz w:val="17"/>
              </w:rPr>
              <w:t>Rate and denominator analysis</w:t>
            </w:r>
          </w:p>
        </w:tc>
        <w:tc>
          <w:tcPr>
            <w:tcW w:type="dxa" w:w="3312"/>
            <w:vAlign w:val="center"/>
            <w:shd w:fill="F1F5F9"/>
          </w:tcPr>
          <w:p>
            <w:pPr>
              <w:spacing w:after="20"/>
            </w:pPr>
            <w:r/>
            <w:r>
              <w:rPr>
                <w:rFonts w:ascii="Aptos" w:hAnsi="Aptos"/>
                <w:b w:val="0"/>
                <w:sz w:val="17"/>
              </w:rPr>
              <w:t>Use per-capita or completion rates only with defensible denominators.</w:t>
            </w:r>
          </w:p>
        </w:tc>
        <w:tc>
          <w:tcPr>
            <w:tcW w:type="dxa" w:w="3312"/>
            <w:vAlign w:val="center"/>
            <w:shd w:fill="F1F5F9"/>
          </w:tcPr>
          <w:p>
            <w:pPr>
              <w:spacing w:after="20"/>
            </w:pPr>
            <w:r/>
            <w:r>
              <w:rPr>
                <w:rFonts w:ascii="Aptos" w:hAnsi="Aptos"/>
                <w:b w:val="0"/>
                <w:sz w:val="17"/>
              </w:rPr>
              <w:t>Reduces misleading comparisons based on population or volume alone.</w:t>
            </w:r>
          </w:p>
        </w:tc>
      </w:tr>
      <w:tr>
        <w:tc>
          <w:tcPr>
            <w:tcW w:type="dxa" w:w="3312"/>
            <w:vAlign w:val="center"/>
          </w:tcPr>
          <w:p>
            <w:pPr>
              <w:spacing w:after="20"/>
            </w:pPr>
            <w:r/>
            <w:r>
              <w:rPr>
                <w:rFonts w:ascii="Aptos" w:hAnsi="Aptos"/>
                <w:b w:val="0"/>
                <w:sz w:val="17"/>
              </w:rPr>
              <w:t>Correlation / exploratory association</w:t>
            </w:r>
          </w:p>
        </w:tc>
        <w:tc>
          <w:tcPr>
            <w:tcW w:type="dxa" w:w="3312"/>
            <w:vAlign w:val="center"/>
          </w:tcPr>
          <w:p>
            <w:pPr>
              <w:spacing w:after="20"/>
            </w:pPr>
            <w:r/>
            <w:r>
              <w:rPr>
                <w:rFonts w:ascii="Aptos" w:hAnsi="Aptos"/>
                <w:b w:val="0"/>
                <w:sz w:val="17"/>
              </w:rPr>
              <w:t>Examine relationships between aggregate context variables and service indicators.</w:t>
            </w:r>
          </w:p>
        </w:tc>
        <w:tc>
          <w:tcPr>
            <w:tcW w:type="dxa" w:w="3312"/>
            <w:vAlign w:val="center"/>
          </w:tcPr>
          <w:p>
            <w:pPr>
              <w:spacing w:after="20"/>
            </w:pPr>
            <w:r/>
            <w:r>
              <w:rPr>
                <w:rFonts w:ascii="Aptos" w:hAnsi="Aptos"/>
                <w:b w:val="0"/>
                <w:sz w:val="17"/>
              </w:rPr>
              <w:t>Can generate hypotheses, but cannot establish causation by itself.</w:t>
            </w:r>
          </w:p>
        </w:tc>
      </w:tr>
      <w:tr>
        <w:tc>
          <w:tcPr>
            <w:tcW w:type="dxa" w:w="3312"/>
            <w:vAlign w:val="center"/>
            <w:shd w:fill="F1F5F9"/>
          </w:tcPr>
          <w:p>
            <w:pPr>
              <w:spacing w:after="20"/>
            </w:pPr>
            <w:r/>
            <w:r>
              <w:rPr>
                <w:rFonts w:ascii="Aptos" w:hAnsi="Aptos"/>
                <w:b w:val="0"/>
                <w:sz w:val="17"/>
              </w:rPr>
              <w:t>Qualitative document review</w:t>
            </w:r>
          </w:p>
        </w:tc>
        <w:tc>
          <w:tcPr>
            <w:tcW w:type="dxa" w:w="3312"/>
            <w:vAlign w:val="center"/>
            <w:shd w:fill="F1F5F9"/>
          </w:tcPr>
          <w:p>
            <w:pPr>
              <w:spacing w:after="20"/>
            </w:pPr>
            <w:r/>
            <w:r>
              <w:rPr>
                <w:rFonts w:ascii="Aptos" w:hAnsi="Aptos"/>
                <w:b w:val="0"/>
                <w:sz w:val="17"/>
              </w:rPr>
              <w:t>Code recurring themes such as accessibility, language, grievance pathways, transparency, and assisted access.</w:t>
            </w:r>
          </w:p>
        </w:tc>
        <w:tc>
          <w:tcPr>
            <w:tcW w:type="dxa" w:w="3312"/>
            <w:vAlign w:val="center"/>
            <w:shd w:fill="F1F5F9"/>
          </w:tcPr>
          <w:p>
            <w:pPr>
              <w:spacing w:after="20"/>
            </w:pPr>
            <w:r/>
            <w:r>
              <w:rPr>
                <w:rFonts w:ascii="Aptos" w:hAnsi="Aptos"/>
                <w:b w:val="0"/>
                <w:sz w:val="17"/>
              </w:rPr>
              <w:t>Adds context that transaction counts alone cannot explain.</w:t>
            </w:r>
          </w:p>
        </w:tc>
      </w:tr>
      <w:tr>
        <w:tc>
          <w:tcPr>
            <w:tcW w:type="dxa" w:w="3312"/>
            <w:vAlign w:val="center"/>
          </w:tcPr>
          <w:p>
            <w:pPr>
              <w:spacing w:after="20"/>
            </w:pPr>
            <w:r/>
            <w:r>
              <w:rPr>
                <w:rFonts w:ascii="Aptos" w:hAnsi="Aptos"/>
                <w:b w:val="0"/>
                <w:sz w:val="17"/>
              </w:rPr>
              <w:t>Sensitivity checks</w:t>
            </w:r>
          </w:p>
        </w:tc>
        <w:tc>
          <w:tcPr>
            <w:tcW w:type="dxa" w:w="3312"/>
            <w:vAlign w:val="center"/>
          </w:tcPr>
          <w:p>
            <w:pPr>
              <w:spacing w:after="20"/>
            </w:pPr>
            <w:r/>
            <w:r>
              <w:rPr>
                <w:rFonts w:ascii="Aptos" w:hAnsi="Aptos"/>
                <w:b w:val="0"/>
                <w:sz w:val="17"/>
              </w:rPr>
              <w:t>Repeat summaries with and without incomplete periods or questionable records where justified.</w:t>
            </w:r>
          </w:p>
        </w:tc>
        <w:tc>
          <w:tcPr>
            <w:tcW w:type="dxa" w:w="3312"/>
            <w:vAlign w:val="center"/>
          </w:tcPr>
          <w:p>
            <w:pPr>
              <w:spacing w:after="20"/>
            </w:pPr>
            <w:r/>
            <w:r>
              <w:rPr>
                <w:rFonts w:ascii="Aptos" w:hAnsi="Aptos"/>
                <w:b w:val="0"/>
                <w:sz w:val="17"/>
              </w:rPr>
              <w:t>Shows whether conclusions depend heavily on data choices.</w:t>
            </w:r>
          </w:p>
        </w:tc>
      </w:tr>
    </w:tbl>
    <w:p/>
    <w:p>
      <w:pPr>
        <w:pStyle w:val="Heading2"/>
      </w:pPr>
      <w:r>
        <w:t>Phase 5 — Interpretation and recommendations</w:t>
      </w:r>
    </w:p>
    <w:p>
      <w:r>
        <w:t>Interpret quantitative patterns alongside source definitions, reporting changes, and official service standards. For each major observation, record the evidence, a plausible interpretation, alternative explanations, confidence level, and a practical recommendation. Avoid calling a region a 'poor performer' solely because it reports fewer transactions: low volume may reflect population, service eligibility, channel differences, missing reporting, or a different service mix.</w:t>
      </w:r>
    </w:p>
    <w:p>
      <w:pPr>
        <w:pStyle w:val="Heading2"/>
      </w:pPr>
      <w:r>
        <w:t>Phase 6 — Reporting and reproducibility</w:t>
      </w:r>
    </w:p>
    <w:p>
      <w:pPr>
        <w:pStyle w:val="ListNumber"/>
        <w:spacing w:after="60"/>
      </w:pPr>
      <w:r>
        <w:t>Create charts with readable labels, units, source notes, and date ranges.</w:t>
      </w:r>
    </w:p>
    <w:p>
      <w:pPr>
        <w:pStyle w:val="ListNumber"/>
        <w:spacing w:after="60"/>
      </w:pPr>
      <w:r>
        <w:t>Write a concise methodology and limitation statement for every key analysis.</w:t>
      </w:r>
    </w:p>
    <w:p>
      <w:pPr>
        <w:pStyle w:val="ListNumber"/>
        <w:spacing w:after="60"/>
      </w:pPr>
      <w:r>
        <w:t>Keep code, data dictionaries, and output filenames consistent so another person can reproduce the work.</w:t>
      </w:r>
    </w:p>
    <w:p>
      <w:pPr>
        <w:pStyle w:val="ListNumber"/>
        <w:spacing w:after="60"/>
      </w:pPr>
      <w:r>
        <w:t>Review recommendations against the evidence and separate demonstrated findings from hypotheses.</w:t>
      </w:r>
    </w:p>
    <w:p>
      <w:pPr>
        <w:pStyle w:val="Heading1"/>
      </w:pPr>
      <w:r>
        <w:t>7. Python Tools and Technical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Tool</w:t>
            </w:r>
          </w:p>
        </w:tc>
        <w:tc>
          <w:tcPr>
            <w:tcW w:type="dxa" w:w="3312"/>
            <w:vAlign w:val="center"/>
            <w:shd w:fill="17365D"/>
          </w:tcPr>
          <w:p>
            <w:pPr>
              <w:spacing w:after="20"/>
            </w:pPr>
            <w:r/>
            <w:r>
              <w:rPr>
                <w:rFonts w:ascii="Aptos" w:hAnsi="Aptos"/>
                <w:b/>
                <w:color w:val="FFFFFF"/>
                <w:sz w:val="18"/>
              </w:rPr>
              <w:t>Role</w:t>
            </w:r>
          </w:p>
        </w:tc>
        <w:tc>
          <w:tcPr>
            <w:tcW w:type="dxa" w:w="3312"/>
            <w:vAlign w:val="center"/>
            <w:shd w:fill="17365D"/>
          </w:tcPr>
          <w:p>
            <w:pPr>
              <w:spacing w:after="20"/>
            </w:pPr>
            <w:r/>
            <w:r>
              <w:rPr>
                <w:rFonts w:ascii="Aptos" w:hAnsi="Aptos"/>
                <w:b/>
                <w:color w:val="FFFFFF"/>
                <w:sz w:val="18"/>
              </w:rPr>
              <w:t>Reason for selection</w:t>
            </w:r>
          </w:p>
        </w:tc>
      </w:tr>
      <w:tr>
        <w:tc>
          <w:tcPr>
            <w:tcW w:type="dxa" w:w="3312"/>
            <w:vAlign w:val="center"/>
          </w:tcPr>
          <w:p>
            <w:pPr>
              <w:spacing w:after="20"/>
            </w:pPr>
            <w:r/>
            <w:r>
              <w:rPr>
                <w:rFonts w:ascii="Aptos" w:hAnsi="Aptos"/>
                <w:b w:val="0"/>
                <w:sz w:val="17"/>
              </w:rPr>
              <w:t>Python 3</w:t>
            </w:r>
          </w:p>
        </w:tc>
        <w:tc>
          <w:tcPr>
            <w:tcW w:type="dxa" w:w="3312"/>
            <w:vAlign w:val="center"/>
          </w:tcPr>
          <w:p>
            <w:pPr>
              <w:spacing w:after="20"/>
            </w:pPr>
            <w:r/>
            <w:r>
              <w:rPr>
                <w:rFonts w:ascii="Aptos" w:hAnsi="Aptos"/>
                <w:b w:val="0"/>
                <w:sz w:val="17"/>
              </w:rPr>
              <w:t>Main analysis language.</w:t>
            </w:r>
          </w:p>
        </w:tc>
        <w:tc>
          <w:tcPr>
            <w:tcW w:type="dxa" w:w="3312"/>
            <w:vAlign w:val="center"/>
          </w:tcPr>
          <w:p>
            <w:pPr>
              <w:spacing w:after="20"/>
            </w:pPr>
            <w:r/>
            <w:r>
              <w:rPr>
                <w:rFonts w:ascii="Aptos" w:hAnsi="Aptos"/>
                <w:b w:val="0"/>
                <w:sz w:val="17"/>
              </w:rPr>
              <w:t>Widely used, reproducible, and suitable for data cleaning and analysis.</w:t>
            </w:r>
          </w:p>
        </w:tc>
      </w:tr>
      <w:tr>
        <w:tc>
          <w:tcPr>
            <w:tcW w:type="dxa" w:w="3312"/>
            <w:vAlign w:val="center"/>
            <w:shd w:fill="F1F5F9"/>
          </w:tcPr>
          <w:p>
            <w:pPr>
              <w:spacing w:after="20"/>
            </w:pPr>
            <w:r/>
            <w:r>
              <w:rPr>
                <w:rFonts w:ascii="Aptos" w:hAnsi="Aptos"/>
                <w:b w:val="0"/>
                <w:sz w:val="17"/>
              </w:rPr>
              <w:t>pandas</w:t>
            </w:r>
          </w:p>
        </w:tc>
        <w:tc>
          <w:tcPr>
            <w:tcW w:type="dxa" w:w="3312"/>
            <w:vAlign w:val="center"/>
            <w:shd w:fill="F1F5F9"/>
          </w:tcPr>
          <w:p>
            <w:pPr>
              <w:spacing w:after="20"/>
            </w:pPr>
            <w:r/>
            <w:r>
              <w:rPr>
                <w:rFonts w:ascii="Aptos" w:hAnsi="Aptos"/>
                <w:b w:val="0"/>
                <w:sz w:val="17"/>
              </w:rPr>
              <w:t>Import, clean, join, group, aggregate, and reshape tabular data.</w:t>
            </w:r>
          </w:p>
        </w:tc>
        <w:tc>
          <w:tcPr>
            <w:tcW w:type="dxa" w:w="3312"/>
            <w:vAlign w:val="center"/>
            <w:shd w:fill="F1F5F9"/>
          </w:tcPr>
          <w:p>
            <w:pPr>
              <w:spacing w:after="20"/>
            </w:pPr>
            <w:r/>
            <w:r>
              <w:rPr>
                <w:rFonts w:ascii="Aptos" w:hAnsi="Aptos"/>
                <w:b w:val="0"/>
                <w:sz w:val="17"/>
              </w:rPr>
              <w:t>Practical for CSV/XLSX data and transparent transformation steps.</w:t>
            </w:r>
          </w:p>
        </w:tc>
      </w:tr>
      <w:tr>
        <w:tc>
          <w:tcPr>
            <w:tcW w:type="dxa" w:w="3312"/>
            <w:vAlign w:val="center"/>
          </w:tcPr>
          <w:p>
            <w:pPr>
              <w:spacing w:after="20"/>
            </w:pPr>
            <w:r/>
            <w:r>
              <w:rPr>
                <w:rFonts w:ascii="Aptos" w:hAnsi="Aptos"/>
                <w:b w:val="0"/>
                <w:sz w:val="17"/>
              </w:rPr>
              <w:t>NumPy</w:t>
            </w:r>
          </w:p>
        </w:tc>
        <w:tc>
          <w:tcPr>
            <w:tcW w:type="dxa" w:w="3312"/>
            <w:vAlign w:val="center"/>
          </w:tcPr>
          <w:p>
            <w:pPr>
              <w:spacing w:after="20"/>
            </w:pPr>
            <w:r/>
            <w:r>
              <w:rPr>
                <w:rFonts w:ascii="Aptos" w:hAnsi="Aptos"/>
                <w:b w:val="0"/>
                <w:sz w:val="17"/>
              </w:rPr>
              <w:t>Numeric operations and handling of arrays/missing values.</w:t>
            </w:r>
          </w:p>
        </w:tc>
        <w:tc>
          <w:tcPr>
            <w:tcW w:type="dxa" w:w="3312"/>
            <w:vAlign w:val="center"/>
          </w:tcPr>
          <w:p>
            <w:pPr>
              <w:spacing w:after="20"/>
            </w:pPr>
            <w:r/>
            <w:r>
              <w:rPr>
                <w:rFonts w:ascii="Aptos" w:hAnsi="Aptos"/>
                <w:b w:val="0"/>
                <w:sz w:val="17"/>
              </w:rPr>
              <w:t>Supports efficient calculations.</w:t>
            </w:r>
          </w:p>
        </w:tc>
      </w:tr>
      <w:tr>
        <w:tc>
          <w:tcPr>
            <w:tcW w:type="dxa" w:w="3312"/>
            <w:vAlign w:val="center"/>
            <w:shd w:fill="F1F5F9"/>
          </w:tcPr>
          <w:p>
            <w:pPr>
              <w:spacing w:after="20"/>
            </w:pPr>
            <w:r/>
            <w:r>
              <w:rPr>
                <w:rFonts w:ascii="Aptos" w:hAnsi="Aptos"/>
                <w:b w:val="0"/>
                <w:sz w:val="17"/>
              </w:rPr>
              <w:t>Matplotlib / Seaborn</w:t>
            </w:r>
          </w:p>
        </w:tc>
        <w:tc>
          <w:tcPr>
            <w:tcW w:type="dxa" w:w="3312"/>
            <w:vAlign w:val="center"/>
            <w:shd w:fill="F1F5F9"/>
          </w:tcPr>
          <w:p>
            <w:pPr>
              <w:spacing w:after="20"/>
            </w:pPr>
            <w:r/>
            <w:r>
              <w:rPr>
                <w:rFonts w:ascii="Aptos" w:hAnsi="Aptos"/>
                <w:b w:val="0"/>
                <w:sz w:val="17"/>
              </w:rPr>
              <w:t>Bar charts, line charts, distributions, and correlation visuals.</w:t>
            </w:r>
          </w:p>
        </w:tc>
        <w:tc>
          <w:tcPr>
            <w:tcW w:type="dxa" w:w="3312"/>
            <w:vAlign w:val="center"/>
            <w:shd w:fill="F1F5F9"/>
          </w:tcPr>
          <w:p>
            <w:pPr>
              <w:spacing w:after="20"/>
            </w:pPr>
            <w:r/>
            <w:r>
              <w:rPr>
                <w:rFonts w:ascii="Aptos" w:hAnsi="Aptos"/>
                <w:b w:val="0"/>
                <w:sz w:val="17"/>
              </w:rPr>
              <w:t>Useful for communicating patterns and uncertainty clearly.</w:t>
            </w:r>
          </w:p>
        </w:tc>
      </w:tr>
      <w:tr>
        <w:tc>
          <w:tcPr>
            <w:tcW w:type="dxa" w:w="3312"/>
            <w:vAlign w:val="center"/>
          </w:tcPr>
          <w:p>
            <w:pPr>
              <w:spacing w:after="20"/>
            </w:pPr>
            <w:r/>
            <w:r>
              <w:rPr>
                <w:rFonts w:ascii="Aptos" w:hAnsi="Aptos"/>
                <w:b w:val="0"/>
                <w:sz w:val="17"/>
              </w:rPr>
              <w:t>Jupyter Notebook</w:t>
            </w:r>
          </w:p>
        </w:tc>
        <w:tc>
          <w:tcPr>
            <w:tcW w:type="dxa" w:w="3312"/>
            <w:vAlign w:val="center"/>
          </w:tcPr>
          <w:p>
            <w:pPr>
              <w:spacing w:after="20"/>
            </w:pPr>
            <w:r/>
            <w:r>
              <w:rPr>
                <w:rFonts w:ascii="Aptos" w:hAnsi="Aptos"/>
                <w:b w:val="0"/>
                <w:sz w:val="17"/>
              </w:rPr>
              <w:t>Exploratory analysis and narrative explanation alongside code.</w:t>
            </w:r>
          </w:p>
        </w:tc>
        <w:tc>
          <w:tcPr>
            <w:tcW w:type="dxa" w:w="3312"/>
            <w:vAlign w:val="center"/>
          </w:tcPr>
          <w:p>
            <w:pPr>
              <w:spacing w:after="20"/>
            </w:pPr>
            <w:r/>
            <w:r>
              <w:rPr>
                <w:rFonts w:ascii="Aptos" w:hAnsi="Aptos"/>
                <w:b w:val="0"/>
                <w:sz w:val="17"/>
              </w:rPr>
              <w:t>Supports a step-by-step, auditable workflow.</w:t>
            </w:r>
          </w:p>
        </w:tc>
      </w:tr>
      <w:tr>
        <w:tc>
          <w:tcPr>
            <w:tcW w:type="dxa" w:w="3312"/>
            <w:vAlign w:val="center"/>
            <w:shd w:fill="F1F5F9"/>
          </w:tcPr>
          <w:p>
            <w:pPr>
              <w:spacing w:after="20"/>
            </w:pPr>
            <w:r/>
            <w:r>
              <w:rPr>
                <w:rFonts w:ascii="Aptos" w:hAnsi="Aptos"/>
                <w:b w:val="0"/>
                <w:sz w:val="17"/>
              </w:rPr>
              <w:t>openpyxl</w:t>
            </w:r>
          </w:p>
        </w:tc>
        <w:tc>
          <w:tcPr>
            <w:tcW w:type="dxa" w:w="3312"/>
            <w:vAlign w:val="center"/>
            <w:shd w:fill="F1F5F9"/>
          </w:tcPr>
          <w:p>
            <w:pPr>
              <w:spacing w:after="20"/>
            </w:pPr>
            <w:r/>
            <w:r>
              <w:rPr>
                <w:rFonts w:ascii="Aptos" w:hAnsi="Aptos"/>
                <w:b w:val="0"/>
                <w:sz w:val="17"/>
              </w:rPr>
              <w:t>Read/write Excel files when required.</w:t>
            </w:r>
          </w:p>
        </w:tc>
        <w:tc>
          <w:tcPr>
            <w:tcW w:type="dxa" w:w="3312"/>
            <w:vAlign w:val="center"/>
            <w:shd w:fill="F1F5F9"/>
          </w:tcPr>
          <w:p>
            <w:pPr>
              <w:spacing w:after="20"/>
            </w:pPr>
            <w:r/>
            <w:r>
              <w:rPr>
                <w:rFonts w:ascii="Aptos" w:hAnsi="Aptos"/>
                <w:b w:val="0"/>
                <w:sz w:val="17"/>
              </w:rPr>
              <w:t>Useful for spreadsheet-based public data.</w:t>
            </w:r>
          </w:p>
        </w:tc>
      </w:tr>
      <w:tr>
        <w:tc>
          <w:tcPr>
            <w:tcW w:type="dxa" w:w="3312"/>
            <w:vAlign w:val="center"/>
          </w:tcPr>
          <w:p>
            <w:pPr>
              <w:spacing w:after="20"/>
            </w:pPr>
            <w:r/>
            <w:r>
              <w:rPr>
                <w:rFonts w:ascii="Aptos" w:hAnsi="Aptos"/>
                <w:b w:val="0"/>
                <w:sz w:val="17"/>
              </w:rPr>
              <w:t>Requests / official API client</w:t>
            </w:r>
          </w:p>
        </w:tc>
        <w:tc>
          <w:tcPr>
            <w:tcW w:type="dxa" w:w="3312"/>
            <w:vAlign w:val="center"/>
          </w:tcPr>
          <w:p>
            <w:pPr>
              <w:spacing w:after="20"/>
            </w:pPr>
            <w:r/>
            <w:r>
              <w:rPr>
                <w:rFonts w:ascii="Aptos" w:hAnsi="Aptos"/>
                <w:b w:val="0"/>
                <w:sz w:val="17"/>
              </w:rPr>
              <w:t>Retrieve data from documented public endpoints, where allowed.</w:t>
            </w:r>
          </w:p>
        </w:tc>
        <w:tc>
          <w:tcPr>
            <w:tcW w:type="dxa" w:w="3312"/>
            <w:vAlign w:val="center"/>
          </w:tcPr>
          <w:p>
            <w:pPr>
              <w:spacing w:after="20"/>
            </w:pPr>
            <w:r/>
            <w:r>
              <w:rPr>
                <w:rFonts w:ascii="Aptos" w:hAnsi="Aptos"/>
                <w:b w:val="0"/>
                <w:sz w:val="17"/>
              </w:rPr>
              <w:t>Avoids manual repetition; use rate limits and terms of service.</w:t>
            </w:r>
          </w:p>
        </w:tc>
      </w:tr>
      <w:tr>
        <w:tc>
          <w:tcPr>
            <w:tcW w:type="dxa" w:w="3312"/>
            <w:vAlign w:val="center"/>
            <w:shd w:fill="F1F5F9"/>
          </w:tcPr>
          <w:p>
            <w:pPr>
              <w:spacing w:after="20"/>
            </w:pPr>
            <w:r/>
            <w:r>
              <w:rPr>
                <w:rFonts w:ascii="Aptos" w:hAnsi="Aptos"/>
                <w:b w:val="0"/>
                <w:sz w:val="17"/>
              </w:rPr>
              <w:t>Git (optional)</w:t>
            </w:r>
          </w:p>
        </w:tc>
        <w:tc>
          <w:tcPr>
            <w:tcW w:type="dxa" w:w="3312"/>
            <w:vAlign w:val="center"/>
            <w:shd w:fill="F1F5F9"/>
          </w:tcPr>
          <w:p>
            <w:pPr>
              <w:spacing w:after="20"/>
            </w:pPr>
            <w:r/>
            <w:r>
              <w:rPr>
                <w:rFonts w:ascii="Aptos" w:hAnsi="Aptos"/>
                <w:b w:val="0"/>
                <w:sz w:val="17"/>
              </w:rPr>
              <w:t>Version control for scripts and documentation.</w:t>
            </w:r>
          </w:p>
        </w:tc>
        <w:tc>
          <w:tcPr>
            <w:tcW w:type="dxa" w:w="3312"/>
            <w:vAlign w:val="center"/>
            <w:shd w:fill="F1F5F9"/>
          </w:tcPr>
          <w:p>
            <w:pPr>
              <w:spacing w:after="20"/>
            </w:pPr>
            <w:r/>
            <w:r>
              <w:rPr>
                <w:rFonts w:ascii="Aptos" w:hAnsi="Aptos"/>
                <w:b w:val="0"/>
                <w:sz w:val="17"/>
              </w:rPr>
              <w:t>Tracks changes and supports reproducibility.</w:t>
            </w:r>
          </w:p>
        </w:tc>
      </w:tr>
      <w:tr>
        <w:tc>
          <w:tcPr>
            <w:tcW w:type="dxa" w:w="3312"/>
            <w:vAlign w:val="center"/>
          </w:tcPr>
          <w:p>
            <w:pPr>
              <w:spacing w:after="20"/>
            </w:pPr>
            <w:r/>
            <w:r>
              <w:rPr>
                <w:rFonts w:ascii="Aptos" w:hAnsi="Aptos"/>
                <w:b w:val="0"/>
                <w:sz w:val="17"/>
              </w:rPr>
              <w:t>Power BI / Tableau (optional)</w:t>
            </w:r>
          </w:p>
        </w:tc>
        <w:tc>
          <w:tcPr>
            <w:tcW w:type="dxa" w:w="3312"/>
            <w:vAlign w:val="center"/>
          </w:tcPr>
          <w:p>
            <w:pPr>
              <w:spacing w:after="20"/>
            </w:pPr>
            <w:r/>
            <w:r>
              <w:rPr>
                <w:rFonts w:ascii="Aptos" w:hAnsi="Aptos"/>
                <w:b w:val="0"/>
                <w:sz w:val="17"/>
              </w:rPr>
              <w:t>Final interactive dashboard if time and data quality allow.</w:t>
            </w:r>
          </w:p>
        </w:tc>
        <w:tc>
          <w:tcPr>
            <w:tcW w:type="dxa" w:w="3312"/>
            <w:vAlign w:val="center"/>
          </w:tcPr>
          <w:p>
            <w:pPr>
              <w:spacing w:after="20"/>
            </w:pPr>
            <w:r/>
            <w:r>
              <w:rPr>
                <w:rFonts w:ascii="Aptos" w:hAnsi="Aptos"/>
                <w:b w:val="0"/>
                <w:sz w:val="17"/>
              </w:rPr>
              <w:t>Useful for presenting results, but not required for a sound analysis.</w:t>
            </w:r>
          </w:p>
        </w:tc>
      </w:tr>
    </w:tbl>
    <w:p/>
    <w:p>
      <w:pPr>
        <w:pStyle w:val="Heading2"/>
      </w:pPr>
      <w:r>
        <w:t>7.1 Proposed project structure</w:t>
      </w:r>
    </w:p>
    <w:p>
      <w:pPr>
        <w:ind w:left="288"/>
      </w:pPr>
      <w:r>
        <w:rPr>
          <w:rFonts w:ascii="Consolas" w:hAnsi="Consolas"/>
          <w:sz w:val="18"/>
        </w:rPr>
        <w:t>egovernance-analysis/</w:t>
        <w:br/>
        <w:t>├── data/</w:t>
        <w:br/>
        <w:t>│   ├── raw/                 # Original downloads; do not edit</w:t>
        <w:br/>
        <w:t>│   └── processed/           # Cleaned, documented data</w:t>
        <w:br/>
        <w:t>├── notebooks/</w:t>
        <w:br/>
        <w:t>│   ├── 01_source_review.ipynb</w:t>
        <w:br/>
        <w:t>│   ├── 02_data_quality.ipynb</w:t>
        <w:br/>
        <w:t>│   └── 03_analysis_and_visuals.ipynb</w:t>
        <w:br/>
        <w:t>├── src/</w:t>
        <w:br/>
        <w:t>│   ├── clean_data.py</w:t>
        <w:br/>
        <w:t>│   └── indicators.py</w:t>
        <w:br/>
        <w:t>├── outputs/</w:t>
        <w:br/>
        <w:t>│   └── figures/</w:t>
        <w:br/>
        <w:t>├── docs/</w:t>
        <w:br/>
        <w:t>│   ├── data_dictionary.xlsx</w:t>
        <w:br/>
        <w:t>│   └── source_inventory.xlsx</w:t>
        <w:br/>
        <w:t>├── README.md</w:t>
        <w:br/>
        <w:t>└── requirements.txt</w:t>
      </w:r>
    </w:p>
    <w:p>
      <w:pPr>
        <w:pStyle w:val="Heading1"/>
      </w:pPr>
      <w:r>
        <w:t>8. Expected Outcomes and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Deliverable</w:t>
            </w:r>
          </w:p>
        </w:tc>
        <w:tc>
          <w:tcPr>
            <w:tcW w:type="dxa" w:w="4968"/>
            <w:vAlign w:val="center"/>
            <w:shd w:fill="17365D"/>
          </w:tcPr>
          <w:p>
            <w:pPr>
              <w:spacing w:after="20"/>
            </w:pPr>
            <w:r/>
            <w:r>
              <w:rPr>
                <w:rFonts w:ascii="Aptos" w:hAnsi="Aptos"/>
                <w:b/>
                <w:color w:val="FFFFFF"/>
                <w:sz w:val="18"/>
              </w:rPr>
              <w:t>Contents / acceptance criteria</w:t>
            </w:r>
          </w:p>
        </w:tc>
      </w:tr>
      <w:tr>
        <w:tc>
          <w:tcPr>
            <w:tcW w:type="dxa" w:w="4968"/>
            <w:vAlign w:val="center"/>
          </w:tcPr>
          <w:p>
            <w:pPr>
              <w:spacing w:after="20"/>
            </w:pPr>
            <w:r/>
            <w:r>
              <w:rPr>
                <w:rFonts w:ascii="Aptos" w:hAnsi="Aptos"/>
                <w:b w:val="0"/>
                <w:sz w:val="17"/>
              </w:rPr>
              <w:t>1. Strategic plan (this document)</w:t>
            </w:r>
          </w:p>
        </w:tc>
        <w:tc>
          <w:tcPr>
            <w:tcW w:type="dxa" w:w="4968"/>
            <w:vAlign w:val="center"/>
          </w:tcPr>
          <w:p>
            <w:pPr>
              <w:spacing w:after="20"/>
            </w:pPr>
            <w:r/>
            <w:r>
              <w:rPr>
                <w:rFonts w:ascii="Aptos" w:hAnsi="Aptos"/>
                <w:b w:val="0"/>
                <w:sz w:val="17"/>
              </w:rPr>
              <w:t>Clear scope, objectives, data needs, source rationale, methodology, risks, timeline, and evaluation approach.</w:t>
            </w:r>
          </w:p>
        </w:tc>
      </w:tr>
      <w:tr>
        <w:tc>
          <w:tcPr>
            <w:tcW w:type="dxa" w:w="4968"/>
            <w:vAlign w:val="center"/>
            <w:shd w:fill="F1F5F9"/>
          </w:tcPr>
          <w:p>
            <w:pPr>
              <w:spacing w:after="20"/>
            </w:pPr>
            <w:r/>
            <w:r>
              <w:rPr>
                <w:rFonts w:ascii="Aptos" w:hAnsi="Aptos"/>
                <w:b w:val="0"/>
                <w:sz w:val="17"/>
              </w:rPr>
              <w:t>2. Source inventory</w:t>
            </w:r>
          </w:p>
        </w:tc>
        <w:tc>
          <w:tcPr>
            <w:tcW w:type="dxa" w:w="4968"/>
            <w:vAlign w:val="center"/>
            <w:shd w:fill="F1F5F9"/>
          </w:tcPr>
          <w:p>
            <w:pPr>
              <w:spacing w:after="20"/>
            </w:pPr>
            <w:r/>
            <w:r>
              <w:rPr>
                <w:rFonts w:ascii="Aptos" w:hAnsi="Aptos"/>
                <w:b w:val="0"/>
                <w:sz w:val="17"/>
              </w:rPr>
              <w:t>Dataset name, publisher, URL, access date, licence, period, geographic coverage, file format, and selection decision.</w:t>
            </w:r>
          </w:p>
        </w:tc>
      </w:tr>
      <w:tr>
        <w:tc>
          <w:tcPr>
            <w:tcW w:type="dxa" w:w="4968"/>
            <w:vAlign w:val="center"/>
          </w:tcPr>
          <w:p>
            <w:pPr>
              <w:spacing w:after="20"/>
            </w:pPr>
            <w:r/>
            <w:r>
              <w:rPr>
                <w:rFonts w:ascii="Aptos" w:hAnsi="Aptos"/>
                <w:b w:val="0"/>
                <w:sz w:val="17"/>
              </w:rPr>
              <w:t>3. Data dictionary</w:t>
            </w:r>
          </w:p>
        </w:tc>
        <w:tc>
          <w:tcPr>
            <w:tcW w:type="dxa" w:w="4968"/>
            <w:vAlign w:val="center"/>
          </w:tcPr>
          <w:p>
            <w:pPr>
              <w:spacing w:after="20"/>
            </w:pPr>
            <w:r/>
            <w:r>
              <w:rPr>
                <w:rFonts w:ascii="Aptos" w:hAnsi="Aptos"/>
                <w:b w:val="0"/>
                <w:sz w:val="17"/>
              </w:rPr>
              <w:t>Indicator definitions, units, denominators, geography, period, missing-value conventions, and quality flags.</w:t>
            </w:r>
          </w:p>
        </w:tc>
      </w:tr>
      <w:tr>
        <w:tc>
          <w:tcPr>
            <w:tcW w:type="dxa" w:w="4968"/>
            <w:vAlign w:val="center"/>
            <w:shd w:fill="F1F5F9"/>
          </w:tcPr>
          <w:p>
            <w:pPr>
              <w:spacing w:after="20"/>
            </w:pPr>
            <w:r/>
            <w:r>
              <w:rPr>
                <w:rFonts w:ascii="Aptos" w:hAnsi="Aptos"/>
                <w:b w:val="0"/>
                <w:sz w:val="17"/>
              </w:rPr>
              <w:t>4. Cleaned analytical dataset(s)</w:t>
            </w:r>
          </w:p>
        </w:tc>
        <w:tc>
          <w:tcPr>
            <w:tcW w:type="dxa" w:w="4968"/>
            <w:vAlign w:val="center"/>
            <w:shd w:fill="F1F5F9"/>
          </w:tcPr>
          <w:p>
            <w:pPr>
              <w:spacing w:after="20"/>
            </w:pPr>
            <w:r/>
            <w:r>
              <w:rPr>
                <w:rFonts w:ascii="Aptos" w:hAnsi="Aptos"/>
                <w:b w:val="0"/>
                <w:sz w:val="17"/>
              </w:rPr>
              <w:t>Documented transformations, stable column names, preserved raw files, and reproducible cleaning steps.</w:t>
            </w:r>
          </w:p>
        </w:tc>
      </w:tr>
      <w:tr>
        <w:tc>
          <w:tcPr>
            <w:tcW w:type="dxa" w:w="4968"/>
            <w:vAlign w:val="center"/>
          </w:tcPr>
          <w:p>
            <w:pPr>
              <w:spacing w:after="20"/>
            </w:pPr>
            <w:r/>
            <w:r>
              <w:rPr>
                <w:rFonts w:ascii="Aptos" w:hAnsi="Aptos"/>
                <w:b w:val="0"/>
                <w:sz w:val="17"/>
              </w:rPr>
              <w:t>5. Python scripts/notebooks</w:t>
            </w:r>
          </w:p>
        </w:tc>
        <w:tc>
          <w:tcPr>
            <w:tcW w:type="dxa" w:w="4968"/>
            <w:vAlign w:val="center"/>
          </w:tcPr>
          <w:p>
            <w:pPr>
              <w:spacing w:after="20"/>
            </w:pPr>
            <w:r/>
            <w:r>
              <w:rPr>
                <w:rFonts w:ascii="Aptos" w:hAnsi="Aptos"/>
                <w:b w:val="0"/>
                <w:sz w:val="17"/>
              </w:rPr>
              <w:t>Imports, checks, analysis, figures, and explanatory markdown; code should run from a clean environment.</w:t>
            </w:r>
          </w:p>
        </w:tc>
      </w:tr>
      <w:tr>
        <w:tc>
          <w:tcPr>
            <w:tcW w:type="dxa" w:w="4968"/>
            <w:vAlign w:val="center"/>
            <w:shd w:fill="F1F5F9"/>
          </w:tcPr>
          <w:p>
            <w:pPr>
              <w:spacing w:after="20"/>
            </w:pPr>
            <w:r/>
            <w:r>
              <w:rPr>
                <w:rFonts w:ascii="Aptos" w:hAnsi="Aptos"/>
                <w:b w:val="0"/>
                <w:sz w:val="17"/>
              </w:rPr>
              <w:t>6. Visual analysis outputs</w:t>
            </w:r>
          </w:p>
        </w:tc>
        <w:tc>
          <w:tcPr>
            <w:tcW w:type="dxa" w:w="4968"/>
            <w:vAlign w:val="center"/>
            <w:shd w:fill="F1F5F9"/>
          </w:tcPr>
          <w:p>
            <w:pPr>
              <w:spacing w:after="20"/>
            </w:pPr>
            <w:r/>
            <w:r>
              <w:rPr>
                <w:rFonts w:ascii="Aptos" w:hAnsi="Aptos"/>
                <w:b w:val="0"/>
                <w:sz w:val="17"/>
              </w:rPr>
              <w:t>A small set of readable charts with units, dates, source notes, and non-misleading scales.</w:t>
            </w:r>
          </w:p>
        </w:tc>
      </w:tr>
      <w:tr>
        <w:tc>
          <w:tcPr>
            <w:tcW w:type="dxa" w:w="4968"/>
            <w:vAlign w:val="center"/>
          </w:tcPr>
          <w:p>
            <w:pPr>
              <w:spacing w:after="20"/>
            </w:pPr>
            <w:r/>
            <w:r>
              <w:rPr>
                <w:rFonts w:ascii="Aptos" w:hAnsi="Aptos"/>
                <w:b w:val="0"/>
                <w:sz w:val="17"/>
              </w:rPr>
              <w:t>7. Findings and recommendations</w:t>
            </w:r>
          </w:p>
        </w:tc>
        <w:tc>
          <w:tcPr>
            <w:tcW w:type="dxa" w:w="4968"/>
            <w:vAlign w:val="center"/>
          </w:tcPr>
          <w:p>
            <w:pPr>
              <w:spacing w:after="20"/>
            </w:pPr>
            <w:r/>
            <w:r>
              <w:rPr>
                <w:rFonts w:ascii="Aptos" w:hAnsi="Aptos"/>
                <w:b w:val="0"/>
                <w:sz w:val="17"/>
              </w:rPr>
              <w:t>Evidence-led observations, uncertainty/limitations, prioritization, and feasible next steps.</w:t>
            </w:r>
          </w:p>
        </w:tc>
      </w:tr>
      <w:tr>
        <w:tc>
          <w:tcPr>
            <w:tcW w:type="dxa" w:w="4968"/>
            <w:vAlign w:val="center"/>
            <w:shd w:fill="F1F5F9"/>
          </w:tcPr>
          <w:p>
            <w:pPr>
              <w:spacing w:after="20"/>
            </w:pPr>
            <w:r/>
            <w:r>
              <w:rPr>
                <w:rFonts w:ascii="Aptos" w:hAnsi="Aptos"/>
                <w:b w:val="0"/>
                <w:sz w:val="17"/>
              </w:rPr>
              <w:t>8. Final submission package</w:t>
            </w:r>
          </w:p>
        </w:tc>
        <w:tc>
          <w:tcPr>
            <w:tcW w:type="dxa" w:w="4968"/>
            <w:vAlign w:val="center"/>
            <w:shd w:fill="F1F5F9"/>
          </w:tcPr>
          <w:p>
            <w:pPr>
              <w:spacing w:after="20"/>
            </w:pPr>
            <w:r/>
            <w:r>
              <w:rPr>
                <w:rFonts w:ascii="Aptos" w:hAnsi="Aptos"/>
                <w:b w:val="0"/>
                <w:sz w:val="17"/>
              </w:rPr>
              <w:t>DOCX report plus source inventory, code, charts, and README; include only data that may legally be redistributed.</w:t>
            </w:r>
          </w:p>
        </w:tc>
      </w:tr>
    </w:tbl>
    <w:p/>
    <w:p>
      <w:pPr>
        <w:pStyle w:val="Heading2"/>
      </w:pPr>
      <w:r>
        <w:t>8.1 Success criteria</w:t>
      </w:r>
    </w:p>
    <w:p>
      <w:pPr>
        <w:pStyle w:val="ListBullet"/>
        <w:spacing w:after="40"/>
      </w:pPr>
      <w:r>
        <w:t>Every selected dataset has a traceable official source, access date, and documented reuse conditions.</w:t>
      </w:r>
    </w:p>
    <w:p>
      <w:pPr>
        <w:pStyle w:val="ListBullet"/>
        <w:spacing w:after="40"/>
      </w:pPr>
      <w:r>
        <w:t>All important indicators have clear definitions, units, periods, and denominators where relevant.</w:t>
      </w:r>
    </w:p>
    <w:p>
      <w:pPr>
        <w:pStyle w:val="ListBullet"/>
        <w:spacing w:after="40"/>
      </w:pPr>
      <w:r>
        <w:t>Data-quality issues are disclosed; no material cleaning decisions are undocumented.</w:t>
      </w:r>
    </w:p>
    <w:p>
      <w:pPr>
        <w:pStyle w:val="ListBullet"/>
        <w:spacing w:after="40"/>
      </w:pPr>
      <w:r>
        <w:t>At least three meaningful visualizations are produced if the selected data support them.</w:t>
      </w:r>
    </w:p>
    <w:p>
      <w:pPr>
        <w:pStyle w:val="ListBullet"/>
        <w:spacing w:after="40"/>
      </w:pPr>
      <w:r>
        <w:t>Recommendations are explicitly linked to findings and distinguish evidence from hypotheses.</w:t>
      </w:r>
    </w:p>
    <w:p>
      <w:pPr>
        <w:pStyle w:val="ListBullet"/>
        <w:spacing w:after="40"/>
      </w:pPr>
      <w:r>
        <w:t>The main workflow can be rerun by another analyst using the documented environment and steps.</w:t>
      </w:r>
    </w:p>
    <w:p>
      <w:pPr>
        <w:pStyle w:val="Heading1"/>
      </w:pPr>
      <w:r>
        <w:t>9. Anticipated Challenges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Challenge</w:t>
            </w:r>
          </w:p>
        </w:tc>
        <w:tc>
          <w:tcPr>
            <w:tcW w:type="dxa" w:w="3312"/>
            <w:vAlign w:val="center"/>
            <w:shd w:fill="17365D"/>
          </w:tcPr>
          <w:p>
            <w:pPr>
              <w:spacing w:after="20"/>
            </w:pPr>
            <w:r/>
            <w:r>
              <w:rPr>
                <w:rFonts w:ascii="Aptos" w:hAnsi="Aptos"/>
                <w:b/>
                <w:color w:val="FFFFFF"/>
                <w:sz w:val="18"/>
              </w:rPr>
              <w:t>Potential impact</w:t>
            </w:r>
          </w:p>
        </w:tc>
        <w:tc>
          <w:tcPr>
            <w:tcW w:type="dxa" w:w="3312"/>
            <w:vAlign w:val="center"/>
            <w:shd w:fill="17365D"/>
          </w:tcPr>
          <w:p>
            <w:pPr>
              <w:spacing w:after="20"/>
            </w:pPr>
            <w:r/>
            <w:r>
              <w:rPr>
                <w:rFonts w:ascii="Aptos" w:hAnsi="Aptos"/>
                <w:b/>
                <w:color w:val="FFFFFF"/>
                <w:sz w:val="18"/>
              </w:rPr>
              <w:t>Mitigation strategy</w:t>
            </w:r>
          </w:p>
        </w:tc>
      </w:tr>
      <w:tr>
        <w:tc>
          <w:tcPr>
            <w:tcW w:type="dxa" w:w="3312"/>
            <w:vAlign w:val="center"/>
          </w:tcPr>
          <w:p>
            <w:pPr>
              <w:spacing w:after="20"/>
            </w:pPr>
            <w:r/>
            <w:r>
              <w:rPr>
                <w:rFonts w:ascii="Aptos" w:hAnsi="Aptos"/>
                <w:b w:val="0"/>
                <w:sz w:val="17"/>
              </w:rPr>
              <w:t>Missing or incomplete data</w:t>
            </w:r>
          </w:p>
        </w:tc>
        <w:tc>
          <w:tcPr>
            <w:tcW w:type="dxa" w:w="3312"/>
            <w:vAlign w:val="center"/>
          </w:tcPr>
          <w:p>
            <w:pPr>
              <w:spacing w:after="20"/>
            </w:pPr>
            <w:r/>
            <w:r>
              <w:rPr>
                <w:rFonts w:ascii="Aptos" w:hAnsi="Aptos"/>
                <w:b w:val="0"/>
                <w:sz w:val="17"/>
              </w:rPr>
              <w:t>Biased summaries and weak regional comparisons.</w:t>
            </w:r>
          </w:p>
        </w:tc>
        <w:tc>
          <w:tcPr>
            <w:tcW w:type="dxa" w:w="3312"/>
            <w:vAlign w:val="center"/>
          </w:tcPr>
          <w:p>
            <w:pPr>
              <w:spacing w:after="20"/>
            </w:pPr>
            <w:r/>
            <w:r>
              <w:rPr>
                <w:rFonts w:ascii="Aptos" w:hAnsi="Aptos"/>
                <w:b w:val="0"/>
                <w:sz w:val="17"/>
              </w:rPr>
              <w:t>Quantify missingness; document coverage; narrow scope; avoid unsupported imputation.</w:t>
            </w:r>
          </w:p>
        </w:tc>
      </w:tr>
      <w:tr>
        <w:tc>
          <w:tcPr>
            <w:tcW w:type="dxa" w:w="3312"/>
            <w:vAlign w:val="center"/>
            <w:shd w:fill="F1F5F9"/>
          </w:tcPr>
          <w:p>
            <w:pPr>
              <w:spacing w:after="20"/>
            </w:pPr>
            <w:r/>
            <w:r>
              <w:rPr>
                <w:rFonts w:ascii="Aptos" w:hAnsi="Aptos"/>
                <w:b w:val="0"/>
                <w:sz w:val="17"/>
              </w:rPr>
              <w:t>Inconsistent definitions</w:t>
            </w:r>
          </w:p>
        </w:tc>
        <w:tc>
          <w:tcPr>
            <w:tcW w:type="dxa" w:w="3312"/>
            <w:vAlign w:val="center"/>
            <w:shd w:fill="F1F5F9"/>
          </w:tcPr>
          <w:p>
            <w:pPr>
              <w:spacing w:after="20"/>
            </w:pPr>
            <w:r/>
            <w:r>
              <w:rPr>
                <w:rFonts w:ascii="Aptos" w:hAnsi="Aptos"/>
                <w:b w:val="0"/>
                <w:sz w:val="17"/>
              </w:rPr>
              <w:t>Apparent differences may reflect measurement rather than performance.</w:t>
            </w:r>
          </w:p>
        </w:tc>
        <w:tc>
          <w:tcPr>
            <w:tcW w:type="dxa" w:w="3312"/>
            <w:vAlign w:val="center"/>
            <w:shd w:fill="F1F5F9"/>
          </w:tcPr>
          <w:p>
            <w:pPr>
              <w:spacing w:after="20"/>
            </w:pPr>
            <w:r/>
            <w:r>
              <w:rPr>
                <w:rFonts w:ascii="Aptos" w:hAnsi="Aptos"/>
                <w:b w:val="0"/>
                <w:sz w:val="17"/>
              </w:rPr>
              <w:t>Create a data dictionary; compare metadata; harmonize only when defensible.</w:t>
            </w:r>
          </w:p>
        </w:tc>
      </w:tr>
      <w:tr>
        <w:tc>
          <w:tcPr>
            <w:tcW w:type="dxa" w:w="3312"/>
            <w:vAlign w:val="center"/>
          </w:tcPr>
          <w:p>
            <w:pPr>
              <w:spacing w:after="20"/>
            </w:pPr>
            <w:r/>
            <w:r>
              <w:rPr>
                <w:rFonts w:ascii="Aptos" w:hAnsi="Aptos"/>
                <w:b w:val="0"/>
                <w:sz w:val="17"/>
              </w:rPr>
              <w:t>Different reporting periods</w:t>
            </w:r>
          </w:p>
        </w:tc>
        <w:tc>
          <w:tcPr>
            <w:tcW w:type="dxa" w:w="3312"/>
            <w:vAlign w:val="center"/>
          </w:tcPr>
          <w:p>
            <w:pPr>
              <w:spacing w:after="20"/>
            </w:pPr>
            <w:r/>
            <w:r>
              <w:rPr>
                <w:rFonts w:ascii="Aptos" w:hAnsi="Aptos"/>
                <w:b w:val="0"/>
                <w:sz w:val="17"/>
              </w:rPr>
              <w:t>Misleading trends or comparisons.</w:t>
            </w:r>
          </w:p>
        </w:tc>
        <w:tc>
          <w:tcPr>
            <w:tcW w:type="dxa" w:w="3312"/>
            <w:vAlign w:val="center"/>
          </w:tcPr>
          <w:p>
            <w:pPr>
              <w:spacing w:after="20"/>
            </w:pPr>
            <w:r/>
            <w:r>
              <w:rPr>
                <w:rFonts w:ascii="Aptos" w:hAnsi="Aptos"/>
                <w:b w:val="0"/>
                <w:sz w:val="17"/>
              </w:rPr>
              <w:t>Use common periods where possible; clearly label partial years; avoid extrapolation.</w:t>
            </w:r>
          </w:p>
        </w:tc>
      </w:tr>
      <w:tr>
        <w:tc>
          <w:tcPr>
            <w:tcW w:type="dxa" w:w="3312"/>
            <w:vAlign w:val="center"/>
            <w:shd w:fill="F1F5F9"/>
          </w:tcPr>
          <w:p>
            <w:pPr>
              <w:spacing w:after="20"/>
            </w:pPr>
            <w:r/>
            <w:r>
              <w:rPr>
                <w:rFonts w:ascii="Aptos" w:hAnsi="Aptos"/>
                <w:b w:val="0"/>
                <w:sz w:val="17"/>
              </w:rPr>
              <w:t>Changing portal or API structure</w:t>
            </w:r>
          </w:p>
        </w:tc>
        <w:tc>
          <w:tcPr>
            <w:tcW w:type="dxa" w:w="3312"/>
            <w:vAlign w:val="center"/>
            <w:shd w:fill="F1F5F9"/>
          </w:tcPr>
          <w:p>
            <w:pPr>
              <w:spacing w:after="20"/>
            </w:pPr>
            <w:r/>
            <w:r>
              <w:rPr>
                <w:rFonts w:ascii="Aptos" w:hAnsi="Aptos"/>
                <w:b w:val="0"/>
                <w:sz w:val="17"/>
              </w:rPr>
              <w:t>Broken scripts or missing fields.</w:t>
            </w:r>
          </w:p>
        </w:tc>
        <w:tc>
          <w:tcPr>
            <w:tcW w:type="dxa" w:w="3312"/>
            <w:vAlign w:val="center"/>
            <w:shd w:fill="F1F5F9"/>
          </w:tcPr>
          <w:p>
            <w:pPr>
              <w:spacing w:after="20"/>
            </w:pPr>
            <w:r/>
            <w:r>
              <w:rPr>
                <w:rFonts w:ascii="Aptos" w:hAnsi="Aptos"/>
                <w:b w:val="0"/>
                <w:sz w:val="17"/>
              </w:rPr>
              <w:t>Save dated raw copies, log versions, validate schemas, and handle errors explicitly.</w:t>
            </w:r>
          </w:p>
        </w:tc>
      </w:tr>
      <w:tr>
        <w:tc>
          <w:tcPr>
            <w:tcW w:type="dxa" w:w="3312"/>
            <w:vAlign w:val="center"/>
          </w:tcPr>
          <w:p>
            <w:pPr>
              <w:spacing w:after="20"/>
            </w:pPr>
            <w:r/>
            <w:r>
              <w:rPr>
                <w:rFonts w:ascii="Aptos" w:hAnsi="Aptos"/>
                <w:b w:val="0"/>
                <w:sz w:val="17"/>
              </w:rPr>
              <w:t>Access restrictions or unclear licence</w:t>
            </w:r>
          </w:p>
        </w:tc>
        <w:tc>
          <w:tcPr>
            <w:tcW w:type="dxa" w:w="3312"/>
            <w:vAlign w:val="center"/>
          </w:tcPr>
          <w:p>
            <w:pPr>
              <w:spacing w:after="20"/>
            </w:pPr>
            <w:r/>
            <w:r>
              <w:rPr>
                <w:rFonts w:ascii="Aptos" w:hAnsi="Aptos"/>
                <w:b w:val="0"/>
                <w:sz w:val="17"/>
              </w:rPr>
              <w:t>Use or redistribution may be inappropriate.</w:t>
            </w:r>
          </w:p>
        </w:tc>
        <w:tc>
          <w:tcPr>
            <w:tcW w:type="dxa" w:w="3312"/>
            <w:vAlign w:val="center"/>
          </w:tcPr>
          <w:p>
            <w:pPr>
              <w:spacing w:after="20"/>
            </w:pPr>
            <w:r/>
            <w:r>
              <w:rPr>
                <w:rFonts w:ascii="Aptos" w:hAnsi="Aptos"/>
                <w:b w:val="0"/>
                <w:sz w:val="17"/>
              </w:rPr>
              <w:t>Use public permitted resources; check terms; seek permission when needed; cite source.</w:t>
            </w:r>
          </w:p>
        </w:tc>
      </w:tr>
      <w:tr>
        <w:tc>
          <w:tcPr>
            <w:tcW w:type="dxa" w:w="3312"/>
            <w:vAlign w:val="center"/>
            <w:shd w:fill="F1F5F9"/>
          </w:tcPr>
          <w:p>
            <w:pPr>
              <w:spacing w:after="20"/>
            </w:pPr>
            <w:r/>
            <w:r>
              <w:rPr>
                <w:rFonts w:ascii="Aptos" w:hAnsi="Aptos"/>
                <w:b w:val="0"/>
                <w:sz w:val="17"/>
              </w:rPr>
              <w:t>Administrative boundary changes</w:t>
            </w:r>
          </w:p>
        </w:tc>
        <w:tc>
          <w:tcPr>
            <w:tcW w:type="dxa" w:w="3312"/>
            <w:vAlign w:val="center"/>
            <w:shd w:fill="F1F5F9"/>
          </w:tcPr>
          <w:p>
            <w:pPr>
              <w:spacing w:after="20"/>
            </w:pPr>
            <w:r/>
            <w:r>
              <w:rPr>
                <w:rFonts w:ascii="Aptos" w:hAnsi="Aptos"/>
                <w:b w:val="0"/>
                <w:sz w:val="17"/>
              </w:rPr>
              <w:t>Incorrect geographic joins.</w:t>
            </w:r>
          </w:p>
        </w:tc>
        <w:tc>
          <w:tcPr>
            <w:tcW w:type="dxa" w:w="3312"/>
            <w:vAlign w:val="center"/>
            <w:shd w:fill="F1F5F9"/>
          </w:tcPr>
          <w:p>
            <w:pPr>
              <w:spacing w:after="20"/>
            </w:pPr>
            <w:r/>
            <w:r>
              <w:rPr>
                <w:rFonts w:ascii="Aptos" w:hAnsi="Aptos"/>
                <w:b w:val="0"/>
                <w:sz w:val="17"/>
              </w:rPr>
              <w:t>Use official boundary identifiers and document crosswalks or exclusions.</w:t>
            </w:r>
          </w:p>
        </w:tc>
      </w:tr>
      <w:tr>
        <w:tc>
          <w:tcPr>
            <w:tcW w:type="dxa" w:w="3312"/>
            <w:vAlign w:val="center"/>
          </w:tcPr>
          <w:p>
            <w:pPr>
              <w:spacing w:after="20"/>
            </w:pPr>
            <w:r/>
            <w:r>
              <w:rPr>
                <w:rFonts w:ascii="Aptos" w:hAnsi="Aptos"/>
                <w:b w:val="0"/>
                <w:sz w:val="17"/>
              </w:rPr>
              <w:t>Small counts or outliers</w:t>
            </w:r>
          </w:p>
        </w:tc>
        <w:tc>
          <w:tcPr>
            <w:tcW w:type="dxa" w:w="3312"/>
            <w:vAlign w:val="center"/>
          </w:tcPr>
          <w:p>
            <w:pPr>
              <w:spacing w:after="20"/>
            </w:pPr>
            <w:r/>
            <w:r>
              <w:rPr>
                <w:rFonts w:ascii="Aptos" w:hAnsi="Aptos"/>
                <w:b w:val="0"/>
                <w:sz w:val="17"/>
              </w:rPr>
              <w:t>Unstable rates and overinterpretation.</w:t>
            </w:r>
          </w:p>
        </w:tc>
        <w:tc>
          <w:tcPr>
            <w:tcW w:type="dxa" w:w="3312"/>
            <w:vAlign w:val="center"/>
          </w:tcPr>
          <w:p>
            <w:pPr>
              <w:spacing w:after="20"/>
            </w:pPr>
            <w:r/>
            <w:r>
              <w:rPr>
                <w:rFonts w:ascii="Aptos" w:hAnsi="Aptos"/>
                <w:b w:val="0"/>
                <w:sz w:val="17"/>
              </w:rPr>
              <w:t>Show denominators; inspect outliers; use robust summaries; flag small samples.</w:t>
            </w:r>
          </w:p>
        </w:tc>
      </w:tr>
      <w:tr>
        <w:tc>
          <w:tcPr>
            <w:tcW w:type="dxa" w:w="3312"/>
            <w:vAlign w:val="center"/>
            <w:shd w:fill="F1F5F9"/>
          </w:tcPr>
          <w:p>
            <w:pPr>
              <w:spacing w:after="20"/>
            </w:pPr>
            <w:r/>
            <w:r>
              <w:rPr>
                <w:rFonts w:ascii="Aptos" w:hAnsi="Aptos"/>
                <w:b w:val="0"/>
                <w:sz w:val="17"/>
              </w:rPr>
              <w:t>Confounding factors</w:t>
            </w:r>
          </w:p>
        </w:tc>
        <w:tc>
          <w:tcPr>
            <w:tcW w:type="dxa" w:w="3312"/>
            <w:vAlign w:val="center"/>
            <w:shd w:fill="F1F5F9"/>
          </w:tcPr>
          <w:p>
            <w:pPr>
              <w:spacing w:after="20"/>
            </w:pPr>
            <w:r/>
            <w:r>
              <w:rPr>
                <w:rFonts w:ascii="Aptos" w:hAnsi="Aptos"/>
                <w:b w:val="0"/>
                <w:sz w:val="17"/>
              </w:rPr>
              <w:t>Correlation may be mistaken for cause.</w:t>
            </w:r>
          </w:p>
        </w:tc>
        <w:tc>
          <w:tcPr>
            <w:tcW w:type="dxa" w:w="3312"/>
            <w:vAlign w:val="center"/>
            <w:shd w:fill="F1F5F9"/>
          </w:tcPr>
          <w:p>
            <w:pPr>
              <w:spacing w:after="20"/>
            </w:pPr>
            <w:r/>
            <w:r>
              <w:rPr>
                <w:rFonts w:ascii="Aptos" w:hAnsi="Aptos"/>
                <w:b w:val="0"/>
                <w:sz w:val="17"/>
              </w:rPr>
              <w:t>Use cautious language, discuss alternative explanations, and avoid causal claims without a suitable design.</w:t>
            </w:r>
          </w:p>
        </w:tc>
      </w:tr>
      <w:tr>
        <w:tc>
          <w:tcPr>
            <w:tcW w:type="dxa" w:w="3312"/>
            <w:vAlign w:val="center"/>
          </w:tcPr>
          <w:p>
            <w:pPr>
              <w:spacing w:after="20"/>
            </w:pPr>
            <w:r/>
            <w:r>
              <w:rPr>
                <w:rFonts w:ascii="Aptos" w:hAnsi="Aptos"/>
                <w:b w:val="0"/>
                <w:sz w:val="17"/>
              </w:rPr>
              <w:t>Digital exclusion not directly measured</w:t>
            </w:r>
          </w:p>
        </w:tc>
        <w:tc>
          <w:tcPr>
            <w:tcW w:type="dxa" w:w="3312"/>
            <w:vAlign w:val="center"/>
          </w:tcPr>
          <w:p>
            <w:pPr>
              <w:spacing w:after="20"/>
            </w:pPr>
            <w:r/>
            <w:r>
              <w:rPr>
                <w:rFonts w:ascii="Aptos" w:hAnsi="Aptos"/>
                <w:b w:val="0"/>
                <w:sz w:val="17"/>
              </w:rPr>
              <w:t>Transaction data may hide people unable to use online services.</w:t>
            </w:r>
          </w:p>
        </w:tc>
        <w:tc>
          <w:tcPr>
            <w:tcW w:type="dxa" w:w="3312"/>
            <w:vAlign w:val="center"/>
          </w:tcPr>
          <w:p>
            <w:pPr>
              <w:spacing w:after="20"/>
            </w:pPr>
            <w:r/>
            <w:r>
              <w:rPr>
                <w:rFonts w:ascii="Aptos" w:hAnsi="Aptos"/>
                <w:b w:val="0"/>
                <w:sz w:val="17"/>
              </w:rPr>
              <w:t>Use contextual connectivity/access indicators and acknowledge that they are proxies.</w:t>
            </w:r>
          </w:p>
        </w:tc>
      </w:tr>
      <w:tr>
        <w:tc>
          <w:tcPr>
            <w:tcW w:type="dxa" w:w="3312"/>
            <w:vAlign w:val="center"/>
            <w:shd w:fill="F1F5F9"/>
          </w:tcPr>
          <w:p>
            <w:pPr>
              <w:spacing w:after="20"/>
            </w:pPr>
            <w:r/>
            <w:r>
              <w:rPr>
                <w:rFonts w:ascii="Aptos" w:hAnsi="Aptos"/>
                <w:b w:val="0"/>
                <w:sz w:val="17"/>
              </w:rPr>
              <w:t>Privacy and security</w:t>
            </w:r>
          </w:p>
        </w:tc>
        <w:tc>
          <w:tcPr>
            <w:tcW w:type="dxa" w:w="3312"/>
            <w:vAlign w:val="center"/>
            <w:shd w:fill="F1F5F9"/>
          </w:tcPr>
          <w:p>
            <w:pPr>
              <w:spacing w:after="20"/>
            </w:pPr>
            <w:r/>
            <w:r>
              <w:rPr>
                <w:rFonts w:ascii="Aptos" w:hAnsi="Aptos"/>
                <w:b w:val="0"/>
                <w:sz w:val="17"/>
              </w:rPr>
              <w:t>Risk of exposing personal information.</w:t>
            </w:r>
          </w:p>
        </w:tc>
        <w:tc>
          <w:tcPr>
            <w:tcW w:type="dxa" w:w="3312"/>
            <w:vAlign w:val="center"/>
            <w:shd w:fill="F1F5F9"/>
          </w:tcPr>
          <w:p>
            <w:pPr>
              <w:spacing w:after="20"/>
            </w:pPr>
            <w:r/>
            <w:r>
              <w:rPr>
                <w:rFonts w:ascii="Aptos" w:hAnsi="Aptos"/>
                <w:b w:val="0"/>
                <w:sz w:val="17"/>
              </w:rPr>
              <w:t>Prefer aggregate public data; remove identifiers; follow data protection principles and source terms.</w:t>
            </w:r>
          </w:p>
        </w:tc>
      </w:tr>
      <w:tr>
        <w:tc>
          <w:tcPr>
            <w:tcW w:type="dxa" w:w="3312"/>
            <w:vAlign w:val="center"/>
          </w:tcPr>
          <w:p>
            <w:pPr>
              <w:spacing w:after="20"/>
            </w:pPr>
            <w:r/>
            <w:r>
              <w:rPr>
                <w:rFonts w:ascii="Aptos" w:hAnsi="Aptos"/>
                <w:b w:val="0"/>
                <w:sz w:val="17"/>
              </w:rPr>
              <w:t>Limited time and scope creep</w:t>
            </w:r>
          </w:p>
        </w:tc>
        <w:tc>
          <w:tcPr>
            <w:tcW w:type="dxa" w:w="3312"/>
            <w:vAlign w:val="center"/>
          </w:tcPr>
          <w:p>
            <w:pPr>
              <w:spacing w:after="20"/>
            </w:pPr>
            <w:r/>
            <w:r>
              <w:rPr>
                <w:rFonts w:ascii="Aptos" w:hAnsi="Aptos"/>
                <w:b w:val="0"/>
                <w:sz w:val="17"/>
              </w:rPr>
              <w:t>Incomplete analysis and rushed reporting.</w:t>
            </w:r>
          </w:p>
        </w:tc>
        <w:tc>
          <w:tcPr>
            <w:tcW w:type="dxa" w:w="3312"/>
            <w:vAlign w:val="center"/>
          </w:tcPr>
          <w:p>
            <w:pPr>
              <w:spacing w:after="20"/>
            </w:pPr>
            <w:r/>
            <w:r>
              <w:rPr>
                <w:rFonts w:ascii="Aptos" w:hAnsi="Aptos"/>
                <w:b w:val="0"/>
                <w:sz w:val="17"/>
              </w:rPr>
              <w:t>Prioritize a small set of questions and datasets; apply the timeline and stop rules.</w:t>
            </w:r>
          </w:p>
        </w:tc>
      </w:tr>
    </w:tbl>
    <w:p/>
    <w:p>
      <w:pPr>
        <w:pStyle w:val="Heading1"/>
      </w:pPr>
      <w:r>
        <w:t>10. Ethics, Privacy, and Responsible Interpretation</w:t>
      </w:r>
    </w:p>
    <w:p>
      <w:pPr>
        <w:pStyle w:val="ListBullet"/>
        <w:spacing w:after="40"/>
      </w:pPr>
      <w:r>
        <w:t>Use only data that are publicly available and permitted for the intended purpose; do not attempt to access restricted systems.</w:t>
      </w:r>
    </w:p>
    <w:p>
      <w:pPr>
        <w:pStyle w:val="ListBullet"/>
        <w:spacing w:after="40"/>
      </w:pPr>
      <w:r>
        <w:t>Avoid personal data. If a public file unexpectedly contains identifiers, stop processing that field and assess whether the file should be excluded.</w:t>
      </w:r>
    </w:p>
    <w:p>
      <w:pPr>
        <w:pStyle w:val="ListBullet"/>
        <w:spacing w:after="40"/>
      </w:pPr>
      <w:r>
        <w:t>Follow source licences and attribution rules, and do not imply government endorsement.</w:t>
      </w:r>
    </w:p>
    <w:p>
      <w:pPr>
        <w:pStyle w:val="ListBullet"/>
        <w:spacing w:after="40"/>
      </w:pPr>
      <w:r>
        <w:t>Do not infer individual behaviour, eligibility, identity, or sensitive attributes from aggregate statistics.</w:t>
      </w:r>
    </w:p>
    <w:p>
      <w:pPr>
        <w:pStyle w:val="ListBullet"/>
        <w:spacing w:after="40"/>
      </w:pPr>
      <w:r>
        <w:t>Use accessible charts, plain language, and neutral descriptions; avoid stigmatizing regions or communities.</w:t>
      </w:r>
    </w:p>
    <w:p>
      <w:pPr>
        <w:pStyle w:val="ListBullet"/>
        <w:spacing w:after="40"/>
      </w:pPr>
      <w:r>
        <w:t>Document uncertainty and limitations. A missing report is not evidence that a service did not exist or did not work.</w:t>
      </w:r>
    </w:p>
    <w:p>
      <w:pPr>
        <w:pStyle w:val="ListBullet"/>
        <w:spacing w:after="40"/>
      </w:pPr>
      <w:r>
        <w:t>Retain only the data needed for the project and follow institutional guidance for storage and sharing.</w:t>
      </w:r>
    </w:p>
    <w:p>
      <w:pPr>
        <w:pStyle w:val="Heading1"/>
      </w:pPr>
      <w:r>
        <w:t>11. Project Timeline and Estimated Effort</w:t>
      </w:r>
    </w:p>
    <w:p>
      <w:r>
        <w:t>The schedule below totals approximately 33 hours, within the assignment estimate of 30–35 hours. The work is organized across seven weeks to allow time for source verification, analysis, and review; if the deadline is shorter, phases can be compressed while retaining validation and documentation.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8"/>
              </w:rPr>
              <w:t>Week</w:t>
            </w:r>
          </w:p>
        </w:tc>
        <w:tc>
          <w:tcPr>
            <w:tcW w:type="dxa" w:w="2484"/>
            <w:vAlign w:val="center"/>
            <w:shd w:fill="17365D"/>
          </w:tcPr>
          <w:p>
            <w:pPr>
              <w:spacing w:after="20"/>
            </w:pPr>
            <w:r/>
            <w:r>
              <w:rPr>
                <w:rFonts w:ascii="Aptos" w:hAnsi="Aptos"/>
                <w:b/>
                <w:color w:val="FFFFFF"/>
                <w:sz w:val="18"/>
              </w:rPr>
              <w:t>Activities</w:t>
            </w:r>
          </w:p>
        </w:tc>
        <w:tc>
          <w:tcPr>
            <w:tcW w:type="dxa" w:w="2484"/>
            <w:vAlign w:val="center"/>
            <w:shd w:fill="17365D"/>
          </w:tcPr>
          <w:p>
            <w:pPr>
              <w:spacing w:after="20"/>
            </w:pPr>
            <w:r/>
            <w:r>
              <w:rPr>
                <w:rFonts w:ascii="Aptos" w:hAnsi="Aptos"/>
                <w:b/>
                <w:color w:val="FFFFFF"/>
                <w:sz w:val="18"/>
              </w:rPr>
              <w:t>Estimated effort</w:t>
            </w:r>
          </w:p>
        </w:tc>
        <w:tc>
          <w:tcPr>
            <w:tcW w:type="dxa" w:w="2484"/>
            <w:vAlign w:val="center"/>
            <w:shd w:fill="17365D"/>
          </w:tcPr>
          <w:p>
            <w:pPr>
              <w:spacing w:after="20"/>
            </w:pPr>
            <w:r/>
            <w:r>
              <w:rPr>
                <w:rFonts w:ascii="Aptos" w:hAnsi="Aptos"/>
                <w:b/>
                <w:color w:val="FFFFFF"/>
                <w:sz w:val="18"/>
              </w:rPr>
              <w:t>Output / checkpoint</w:t>
            </w:r>
          </w:p>
        </w:tc>
      </w:tr>
      <w:tr>
        <w:tc>
          <w:tcPr>
            <w:tcW w:type="dxa" w:w="2484"/>
            <w:vAlign w:val="center"/>
          </w:tcPr>
          <w:p>
            <w:pPr>
              <w:spacing w:after="20"/>
            </w:pPr>
            <w:r/>
            <w:r>
              <w:rPr>
                <w:rFonts w:ascii="Aptos" w:hAnsi="Aptos"/>
                <w:b w:val="0"/>
                <w:sz w:val="17"/>
              </w:rPr>
              <w:t>1</w:t>
            </w:r>
          </w:p>
        </w:tc>
        <w:tc>
          <w:tcPr>
            <w:tcW w:type="dxa" w:w="2484"/>
            <w:vAlign w:val="center"/>
          </w:tcPr>
          <w:p>
            <w:pPr>
              <w:spacing w:after="20"/>
            </w:pPr>
            <w:r/>
            <w:r>
              <w:rPr>
                <w:rFonts w:ascii="Aptos" w:hAnsi="Aptos"/>
                <w:b w:val="0"/>
                <w:sz w:val="17"/>
              </w:rPr>
              <w:t>Clarify questions, define scope, review e-governance concepts and frameworks.</w:t>
            </w:r>
          </w:p>
        </w:tc>
        <w:tc>
          <w:tcPr>
            <w:tcW w:type="dxa" w:w="2484"/>
            <w:vAlign w:val="center"/>
          </w:tcPr>
          <w:p>
            <w:pPr>
              <w:spacing w:after="20"/>
            </w:pPr>
            <w:r/>
            <w:r>
              <w:rPr>
                <w:rFonts w:ascii="Aptos" w:hAnsi="Aptos"/>
                <w:b w:val="0"/>
                <w:sz w:val="17"/>
              </w:rPr>
              <w:t>4 hours</w:t>
            </w:r>
          </w:p>
        </w:tc>
        <w:tc>
          <w:tcPr>
            <w:tcW w:type="dxa" w:w="2484"/>
            <w:vAlign w:val="center"/>
          </w:tcPr>
          <w:p>
            <w:pPr>
              <w:spacing w:after="20"/>
            </w:pPr>
            <w:r/>
            <w:r>
              <w:rPr>
                <w:rFonts w:ascii="Aptos" w:hAnsi="Aptos"/>
                <w:b w:val="0"/>
                <w:sz w:val="17"/>
              </w:rPr>
              <w:t>Approved objectives and initial indicator list.</w:t>
            </w:r>
          </w:p>
        </w:tc>
      </w:tr>
      <w:tr>
        <w:tc>
          <w:tcPr>
            <w:tcW w:type="dxa" w:w="2484"/>
            <w:vAlign w:val="center"/>
            <w:shd w:fill="F1F5F9"/>
          </w:tcPr>
          <w:p>
            <w:pPr>
              <w:spacing w:after="20"/>
            </w:pPr>
            <w:r/>
            <w:r>
              <w:rPr>
                <w:rFonts w:ascii="Aptos" w:hAnsi="Aptos"/>
                <w:b w:val="0"/>
                <w:sz w:val="17"/>
              </w:rPr>
              <w:t>2</w:t>
            </w:r>
          </w:p>
        </w:tc>
        <w:tc>
          <w:tcPr>
            <w:tcW w:type="dxa" w:w="2484"/>
            <w:vAlign w:val="center"/>
            <w:shd w:fill="F1F5F9"/>
          </w:tcPr>
          <w:p>
            <w:pPr>
              <w:spacing w:after="20"/>
            </w:pPr>
            <w:r/>
            <w:r>
              <w:rPr>
                <w:rFonts w:ascii="Aptos" w:hAnsi="Aptos"/>
                <w:b w:val="0"/>
                <w:sz w:val="17"/>
              </w:rPr>
              <w:t>Research public repositories and reports; assess source relevance and permissions.</w:t>
            </w:r>
          </w:p>
        </w:tc>
        <w:tc>
          <w:tcPr>
            <w:tcW w:type="dxa" w:w="2484"/>
            <w:vAlign w:val="center"/>
            <w:shd w:fill="F1F5F9"/>
          </w:tcPr>
          <w:p>
            <w:pPr>
              <w:spacing w:after="20"/>
            </w:pPr>
            <w:r/>
            <w:r>
              <w:rPr>
                <w:rFonts w:ascii="Aptos" w:hAnsi="Aptos"/>
                <w:b w:val="0"/>
                <w:sz w:val="17"/>
              </w:rPr>
              <w:t>5 hours</w:t>
            </w:r>
          </w:p>
        </w:tc>
        <w:tc>
          <w:tcPr>
            <w:tcW w:type="dxa" w:w="2484"/>
            <w:vAlign w:val="center"/>
            <w:shd w:fill="F1F5F9"/>
          </w:tcPr>
          <w:p>
            <w:pPr>
              <w:spacing w:after="20"/>
            </w:pPr>
            <w:r/>
            <w:r>
              <w:rPr>
                <w:rFonts w:ascii="Aptos" w:hAnsi="Aptos"/>
                <w:b w:val="0"/>
                <w:sz w:val="17"/>
              </w:rPr>
              <w:t>Source inventory and dataset shortlist.</w:t>
            </w:r>
          </w:p>
        </w:tc>
      </w:tr>
      <w:tr>
        <w:tc>
          <w:tcPr>
            <w:tcW w:type="dxa" w:w="2484"/>
            <w:vAlign w:val="center"/>
          </w:tcPr>
          <w:p>
            <w:pPr>
              <w:spacing w:after="20"/>
            </w:pPr>
            <w:r/>
            <w:r>
              <w:rPr>
                <w:rFonts w:ascii="Aptos" w:hAnsi="Aptos"/>
                <w:b w:val="0"/>
                <w:sz w:val="17"/>
              </w:rPr>
              <w:t>3</w:t>
            </w:r>
          </w:p>
        </w:tc>
        <w:tc>
          <w:tcPr>
            <w:tcW w:type="dxa" w:w="2484"/>
            <w:vAlign w:val="center"/>
          </w:tcPr>
          <w:p>
            <w:pPr>
              <w:spacing w:after="20"/>
            </w:pPr>
            <w:r/>
            <w:r>
              <w:rPr>
                <w:rFonts w:ascii="Aptos" w:hAnsi="Aptos"/>
                <w:b w:val="0"/>
                <w:sz w:val="17"/>
              </w:rPr>
              <w:t>Download data; profile structure, coverage, definitions, and missingness.</w:t>
            </w:r>
          </w:p>
        </w:tc>
        <w:tc>
          <w:tcPr>
            <w:tcW w:type="dxa" w:w="2484"/>
            <w:vAlign w:val="center"/>
          </w:tcPr>
          <w:p>
            <w:pPr>
              <w:spacing w:after="20"/>
            </w:pPr>
            <w:r/>
            <w:r>
              <w:rPr>
                <w:rFonts w:ascii="Aptos" w:hAnsi="Aptos"/>
                <w:b w:val="0"/>
                <w:sz w:val="17"/>
              </w:rPr>
              <w:t>5 hours</w:t>
            </w:r>
          </w:p>
        </w:tc>
        <w:tc>
          <w:tcPr>
            <w:tcW w:type="dxa" w:w="2484"/>
            <w:vAlign w:val="center"/>
          </w:tcPr>
          <w:p>
            <w:pPr>
              <w:spacing w:after="20"/>
            </w:pPr>
            <w:r/>
            <w:r>
              <w:rPr>
                <w:rFonts w:ascii="Aptos" w:hAnsi="Aptos"/>
                <w:b w:val="0"/>
                <w:sz w:val="17"/>
              </w:rPr>
              <w:t>Raw data archive and data-quality notes.</w:t>
            </w:r>
          </w:p>
        </w:tc>
      </w:tr>
      <w:tr>
        <w:tc>
          <w:tcPr>
            <w:tcW w:type="dxa" w:w="2484"/>
            <w:vAlign w:val="center"/>
            <w:shd w:fill="F1F5F9"/>
          </w:tcPr>
          <w:p>
            <w:pPr>
              <w:spacing w:after="20"/>
            </w:pPr>
            <w:r/>
            <w:r>
              <w:rPr>
                <w:rFonts w:ascii="Aptos" w:hAnsi="Aptos"/>
                <w:b w:val="0"/>
                <w:sz w:val="17"/>
              </w:rPr>
              <w:t>4</w:t>
            </w:r>
          </w:p>
        </w:tc>
        <w:tc>
          <w:tcPr>
            <w:tcW w:type="dxa" w:w="2484"/>
            <w:vAlign w:val="center"/>
            <w:shd w:fill="F1F5F9"/>
          </w:tcPr>
          <w:p>
            <w:pPr>
              <w:spacing w:after="20"/>
            </w:pPr>
            <w:r/>
            <w:r>
              <w:rPr>
                <w:rFonts w:ascii="Aptos" w:hAnsi="Aptos"/>
                <w:b w:val="0"/>
                <w:sz w:val="17"/>
              </w:rPr>
              <w:t>Clean and standardize selected data; document transformations.</w:t>
            </w:r>
          </w:p>
        </w:tc>
        <w:tc>
          <w:tcPr>
            <w:tcW w:type="dxa" w:w="2484"/>
            <w:vAlign w:val="center"/>
            <w:shd w:fill="F1F5F9"/>
          </w:tcPr>
          <w:p>
            <w:pPr>
              <w:spacing w:after="20"/>
            </w:pPr>
            <w:r/>
            <w:r>
              <w:rPr>
                <w:rFonts w:ascii="Aptos" w:hAnsi="Aptos"/>
                <w:b w:val="0"/>
                <w:sz w:val="17"/>
              </w:rPr>
              <w:t>5 hours</w:t>
            </w:r>
          </w:p>
        </w:tc>
        <w:tc>
          <w:tcPr>
            <w:tcW w:type="dxa" w:w="2484"/>
            <w:vAlign w:val="center"/>
            <w:shd w:fill="F1F5F9"/>
          </w:tcPr>
          <w:p>
            <w:pPr>
              <w:spacing w:after="20"/>
            </w:pPr>
            <w:r/>
            <w:r>
              <w:rPr>
                <w:rFonts w:ascii="Aptos" w:hAnsi="Aptos"/>
                <w:b w:val="0"/>
                <w:sz w:val="17"/>
              </w:rPr>
              <w:t>Clean datasets and data dictionary.</w:t>
            </w:r>
          </w:p>
        </w:tc>
      </w:tr>
      <w:tr>
        <w:tc>
          <w:tcPr>
            <w:tcW w:type="dxa" w:w="2484"/>
            <w:vAlign w:val="center"/>
          </w:tcPr>
          <w:p>
            <w:pPr>
              <w:spacing w:after="20"/>
            </w:pPr>
            <w:r/>
            <w:r>
              <w:rPr>
                <w:rFonts w:ascii="Aptos" w:hAnsi="Aptos"/>
                <w:b w:val="0"/>
                <w:sz w:val="17"/>
              </w:rPr>
              <w:t>5</w:t>
            </w:r>
          </w:p>
        </w:tc>
        <w:tc>
          <w:tcPr>
            <w:tcW w:type="dxa" w:w="2484"/>
            <w:vAlign w:val="center"/>
          </w:tcPr>
          <w:p>
            <w:pPr>
              <w:spacing w:after="20"/>
            </w:pPr>
            <w:r/>
            <w:r>
              <w:rPr>
                <w:rFonts w:ascii="Aptos" w:hAnsi="Aptos"/>
                <w:b w:val="0"/>
                <w:sz w:val="17"/>
              </w:rPr>
              <w:t>Run descriptive statistics, trend/group analysis, and qualitative report review.</w:t>
            </w:r>
          </w:p>
        </w:tc>
        <w:tc>
          <w:tcPr>
            <w:tcW w:type="dxa" w:w="2484"/>
            <w:vAlign w:val="center"/>
          </w:tcPr>
          <w:p>
            <w:pPr>
              <w:spacing w:after="20"/>
            </w:pPr>
            <w:r/>
            <w:r>
              <w:rPr>
                <w:rFonts w:ascii="Aptos" w:hAnsi="Aptos"/>
                <w:b w:val="0"/>
                <w:sz w:val="17"/>
              </w:rPr>
              <w:t>6 hours</w:t>
            </w:r>
          </w:p>
        </w:tc>
        <w:tc>
          <w:tcPr>
            <w:tcW w:type="dxa" w:w="2484"/>
            <w:vAlign w:val="center"/>
          </w:tcPr>
          <w:p>
            <w:pPr>
              <w:spacing w:after="20"/>
            </w:pPr>
            <w:r/>
            <w:r>
              <w:rPr>
                <w:rFonts w:ascii="Aptos" w:hAnsi="Aptos"/>
                <w:b w:val="0"/>
                <w:sz w:val="17"/>
              </w:rPr>
              <w:t>Analysis tables and draft charts.</w:t>
            </w:r>
          </w:p>
        </w:tc>
      </w:tr>
      <w:tr>
        <w:tc>
          <w:tcPr>
            <w:tcW w:type="dxa" w:w="2484"/>
            <w:vAlign w:val="center"/>
            <w:shd w:fill="F1F5F9"/>
          </w:tcPr>
          <w:p>
            <w:pPr>
              <w:spacing w:after="20"/>
            </w:pPr>
            <w:r/>
            <w:r>
              <w:rPr>
                <w:rFonts w:ascii="Aptos" w:hAnsi="Aptos"/>
                <w:b w:val="0"/>
                <w:sz w:val="17"/>
              </w:rPr>
              <w:t>6</w:t>
            </w:r>
          </w:p>
        </w:tc>
        <w:tc>
          <w:tcPr>
            <w:tcW w:type="dxa" w:w="2484"/>
            <w:vAlign w:val="center"/>
            <w:shd w:fill="F1F5F9"/>
          </w:tcPr>
          <w:p>
            <w:pPr>
              <w:spacing w:after="20"/>
            </w:pPr>
            <w:r/>
            <w:r>
              <w:rPr>
                <w:rFonts w:ascii="Aptos" w:hAnsi="Aptos"/>
                <w:b w:val="0"/>
                <w:sz w:val="17"/>
              </w:rPr>
              <w:t>Interpret results, conduct sensitivity checks, and develop recommendations.</w:t>
            </w:r>
          </w:p>
        </w:tc>
        <w:tc>
          <w:tcPr>
            <w:tcW w:type="dxa" w:w="2484"/>
            <w:vAlign w:val="center"/>
            <w:shd w:fill="F1F5F9"/>
          </w:tcPr>
          <w:p>
            <w:pPr>
              <w:spacing w:after="20"/>
            </w:pPr>
            <w:r/>
            <w:r>
              <w:rPr>
                <w:rFonts w:ascii="Aptos" w:hAnsi="Aptos"/>
                <w:b w:val="0"/>
                <w:sz w:val="17"/>
              </w:rPr>
              <w:t>4 hours</w:t>
            </w:r>
          </w:p>
        </w:tc>
        <w:tc>
          <w:tcPr>
            <w:tcW w:type="dxa" w:w="2484"/>
            <w:vAlign w:val="center"/>
            <w:shd w:fill="F1F5F9"/>
          </w:tcPr>
          <w:p>
            <w:pPr>
              <w:spacing w:after="20"/>
            </w:pPr>
            <w:r/>
            <w:r>
              <w:rPr>
                <w:rFonts w:ascii="Aptos" w:hAnsi="Aptos"/>
                <w:b w:val="0"/>
                <w:sz w:val="17"/>
              </w:rPr>
              <w:t>Findings, caveats, and recommendations.</w:t>
            </w:r>
          </w:p>
        </w:tc>
      </w:tr>
      <w:tr>
        <w:tc>
          <w:tcPr>
            <w:tcW w:type="dxa" w:w="2484"/>
            <w:vAlign w:val="center"/>
          </w:tcPr>
          <w:p>
            <w:pPr>
              <w:spacing w:after="20"/>
            </w:pPr>
            <w:r/>
            <w:r>
              <w:rPr>
                <w:rFonts w:ascii="Aptos" w:hAnsi="Aptos"/>
                <w:b w:val="0"/>
                <w:sz w:val="17"/>
              </w:rPr>
              <w:t>7</w:t>
            </w:r>
          </w:p>
        </w:tc>
        <w:tc>
          <w:tcPr>
            <w:tcW w:type="dxa" w:w="2484"/>
            <w:vAlign w:val="center"/>
          </w:tcPr>
          <w:p>
            <w:pPr>
              <w:spacing w:after="20"/>
            </w:pPr>
            <w:r/>
            <w:r>
              <w:rPr>
                <w:rFonts w:ascii="Aptos" w:hAnsi="Aptos"/>
                <w:b w:val="0"/>
                <w:sz w:val="17"/>
              </w:rPr>
              <w:t>Write, format, validate links/citations, rerun code, and prepare submission package.</w:t>
            </w:r>
          </w:p>
        </w:tc>
        <w:tc>
          <w:tcPr>
            <w:tcW w:type="dxa" w:w="2484"/>
            <w:vAlign w:val="center"/>
          </w:tcPr>
          <w:p>
            <w:pPr>
              <w:spacing w:after="20"/>
            </w:pPr>
            <w:r/>
            <w:r>
              <w:rPr>
                <w:rFonts w:ascii="Aptos" w:hAnsi="Aptos"/>
                <w:b w:val="0"/>
                <w:sz w:val="17"/>
              </w:rPr>
              <w:t>4 hours</w:t>
            </w:r>
          </w:p>
        </w:tc>
        <w:tc>
          <w:tcPr>
            <w:tcW w:type="dxa" w:w="2484"/>
            <w:vAlign w:val="center"/>
          </w:tcPr>
          <w:p>
            <w:pPr>
              <w:spacing w:after="20"/>
            </w:pPr>
            <w:r/>
            <w:r>
              <w:rPr>
                <w:rFonts w:ascii="Aptos" w:hAnsi="Aptos"/>
                <w:b w:val="0"/>
                <w:sz w:val="17"/>
              </w:rPr>
              <w:t>Final DOCX and reproducibility package.</w:t>
            </w:r>
          </w:p>
        </w:tc>
      </w:tr>
      <w:tr>
        <w:tc>
          <w:tcPr>
            <w:tcW w:type="dxa" w:w="2484"/>
            <w:vAlign w:val="center"/>
            <w:shd w:fill="F1F5F9"/>
          </w:tcPr>
          <w:p>
            <w:pPr>
              <w:spacing w:after="20"/>
            </w:pPr>
            <w:r/>
            <w:r>
              <w:rPr>
                <w:rFonts w:ascii="Aptos" w:hAnsi="Aptos"/>
                <w:b w:val="0"/>
                <w:sz w:val="17"/>
              </w:rPr>
              <w:t>Total</w:t>
            </w:r>
          </w:p>
        </w:tc>
        <w:tc>
          <w:tcPr>
            <w:tcW w:type="dxa" w:w="2484"/>
            <w:vAlign w:val="center"/>
            <w:shd w:fill="F1F5F9"/>
          </w:tcPr>
          <w:p>
            <w:pPr>
              <w:spacing w:after="20"/>
            </w:pPr>
            <w:r/>
            <w:r>
              <w:rPr>
                <w:rFonts w:ascii="Aptos" w:hAnsi="Aptos"/>
                <w:b w:val="0"/>
                <w:sz w:val="17"/>
              </w:rPr>
            </w:r>
          </w:p>
        </w:tc>
        <w:tc>
          <w:tcPr>
            <w:tcW w:type="dxa" w:w="2484"/>
            <w:vAlign w:val="center"/>
            <w:shd w:fill="F1F5F9"/>
          </w:tcPr>
          <w:p>
            <w:pPr>
              <w:spacing w:after="20"/>
            </w:pPr>
            <w:r/>
            <w:r>
              <w:rPr>
                <w:rFonts w:ascii="Aptos" w:hAnsi="Aptos"/>
                <w:b w:val="0"/>
                <w:sz w:val="17"/>
              </w:rPr>
              <w:t>33 hours</w:t>
            </w:r>
          </w:p>
        </w:tc>
        <w:tc>
          <w:tcPr>
            <w:tcW w:type="dxa" w:w="2484"/>
            <w:vAlign w:val="center"/>
            <w:shd w:fill="F1F5F9"/>
          </w:tcPr>
          <w:p>
            <w:pPr>
              <w:spacing w:after="20"/>
            </w:pPr>
            <w:r/>
            <w:r>
              <w:rPr>
                <w:rFonts w:ascii="Aptos" w:hAnsi="Aptos"/>
                <w:b w:val="0"/>
                <w:sz w:val="17"/>
              </w:rPr>
              <w:t>Final review and submission</w:t>
            </w:r>
          </w:p>
        </w:tc>
      </w:tr>
    </w:tbl>
    <w:p/>
    <w:p>
      <w:pPr>
        <w:pStyle w:val="Heading2"/>
      </w:pPr>
      <w:r>
        <w:t>11.1 Milestones and decision gates</w:t>
      </w:r>
    </w:p>
    <w:p>
      <w:pPr>
        <w:pStyle w:val="ListBullet"/>
        <w:spacing w:after="40"/>
      </w:pPr>
      <w:r>
        <w:t>Gate 1 (end of Week 1): each research question maps to at least one feasible indicator.</w:t>
      </w:r>
    </w:p>
    <w:p>
      <w:pPr>
        <w:pStyle w:val="ListBullet"/>
        <w:spacing w:after="40"/>
      </w:pPr>
      <w:r>
        <w:t>Gate 2 (end of Week 2): select datasets only after checking source authority, coverage, and terms.</w:t>
      </w:r>
    </w:p>
    <w:p>
      <w:pPr>
        <w:pStyle w:val="ListBullet"/>
        <w:spacing w:after="40"/>
      </w:pPr>
      <w:r>
        <w:t>Gate 3 (end of Week 3): proceed only if definitions and data quality support meaningful analysis; otherwise revise scope.</w:t>
      </w:r>
    </w:p>
    <w:p>
      <w:pPr>
        <w:pStyle w:val="ListBullet"/>
        <w:spacing w:after="40"/>
      </w:pPr>
      <w:r>
        <w:t>Gate 4 (end of Week 5): ensure charts answer the research questions and do not simply decorate the report.</w:t>
      </w:r>
    </w:p>
    <w:p>
      <w:pPr>
        <w:pStyle w:val="ListBullet"/>
        <w:spacing w:after="40"/>
      </w:pPr>
      <w:r>
        <w:t>Gate 5 (end of Week 7): verify reproducibility, references, file organization, and disclosure of limitations.</w:t>
      </w:r>
    </w:p>
    <w:p>
      <w:pPr>
        <w:pStyle w:val="Heading1"/>
      </w:pPr>
      <w:r>
        <w:t>12. Evaluation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Criterion</w:t>
            </w:r>
          </w:p>
        </w:tc>
        <w:tc>
          <w:tcPr>
            <w:tcW w:type="dxa" w:w="3312"/>
            <w:vAlign w:val="center"/>
            <w:shd w:fill="17365D"/>
          </w:tcPr>
          <w:p>
            <w:pPr>
              <w:spacing w:after="20"/>
            </w:pPr>
            <w:r/>
            <w:r>
              <w:rPr>
                <w:rFonts w:ascii="Aptos" w:hAnsi="Aptos"/>
                <w:b/>
                <w:color w:val="FFFFFF"/>
                <w:sz w:val="18"/>
              </w:rPr>
              <w:t>Weight</w:t>
            </w:r>
          </w:p>
        </w:tc>
        <w:tc>
          <w:tcPr>
            <w:tcW w:type="dxa" w:w="3312"/>
            <w:vAlign w:val="center"/>
            <w:shd w:fill="17365D"/>
          </w:tcPr>
          <w:p>
            <w:pPr>
              <w:spacing w:after="20"/>
            </w:pPr>
            <w:r/>
            <w:r>
              <w:rPr>
                <w:rFonts w:ascii="Aptos" w:hAnsi="Aptos"/>
                <w:b/>
                <w:color w:val="FFFFFF"/>
                <w:sz w:val="18"/>
              </w:rPr>
              <w:t>Evidence of achievement</w:t>
            </w:r>
          </w:p>
        </w:tc>
      </w:tr>
      <w:tr>
        <w:tc>
          <w:tcPr>
            <w:tcW w:type="dxa" w:w="3312"/>
            <w:vAlign w:val="center"/>
          </w:tcPr>
          <w:p>
            <w:pPr>
              <w:spacing w:after="20"/>
            </w:pPr>
            <w:r/>
            <w:r>
              <w:rPr>
                <w:rFonts w:ascii="Aptos" w:hAnsi="Aptos"/>
                <w:b w:val="0"/>
                <w:sz w:val="17"/>
              </w:rPr>
              <w:t>Clarity and organization</w:t>
            </w:r>
          </w:p>
        </w:tc>
        <w:tc>
          <w:tcPr>
            <w:tcW w:type="dxa" w:w="3312"/>
            <w:vAlign w:val="center"/>
          </w:tcPr>
          <w:p>
            <w:pPr>
              <w:spacing w:after="20"/>
            </w:pPr>
            <w:r/>
            <w:r>
              <w:rPr>
                <w:rFonts w:ascii="Aptos" w:hAnsi="Aptos"/>
                <w:b w:val="0"/>
                <w:sz w:val="17"/>
              </w:rPr>
              <w:t>15%</w:t>
            </w:r>
          </w:p>
        </w:tc>
        <w:tc>
          <w:tcPr>
            <w:tcW w:type="dxa" w:w="3312"/>
            <w:vAlign w:val="center"/>
          </w:tcPr>
          <w:p>
            <w:pPr>
              <w:spacing w:after="20"/>
            </w:pPr>
            <w:r/>
            <w:r>
              <w:rPr>
                <w:rFonts w:ascii="Aptos" w:hAnsi="Aptos"/>
                <w:b w:val="0"/>
                <w:sz w:val="17"/>
              </w:rPr>
              <w:t>Logical headings, precise objectives, readable tables, and concise writing.</w:t>
            </w:r>
          </w:p>
        </w:tc>
      </w:tr>
      <w:tr>
        <w:tc>
          <w:tcPr>
            <w:tcW w:type="dxa" w:w="3312"/>
            <w:vAlign w:val="center"/>
            <w:shd w:fill="F1F5F9"/>
          </w:tcPr>
          <w:p>
            <w:pPr>
              <w:spacing w:after="20"/>
            </w:pPr>
            <w:r/>
            <w:r>
              <w:rPr>
                <w:rFonts w:ascii="Aptos" w:hAnsi="Aptos"/>
                <w:b w:val="0"/>
                <w:sz w:val="17"/>
              </w:rPr>
              <w:t>Depth of analysis</w:t>
            </w:r>
          </w:p>
        </w:tc>
        <w:tc>
          <w:tcPr>
            <w:tcW w:type="dxa" w:w="3312"/>
            <w:vAlign w:val="center"/>
            <w:shd w:fill="F1F5F9"/>
          </w:tcPr>
          <w:p>
            <w:pPr>
              <w:spacing w:after="20"/>
            </w:pPr>
            <w:r/>
            <w:r>
              <w:rPr>
                <w:rFonts w:ascii="Aptos" w:hAnsi="Aptos"/>
                <w:b w:val="0"/>
                <w:sz w:val="17"/>
              </w:rPr>
              <w:t>20%</w:t>
            </w:r>
          </w:p>
        </w:tc>
        <w:tc>
          <w:tcPr>
            <w:tcW w:type="dxa" w:w="3312"/>
            <w:vAlign w:val="center"/>
            <w:shd w:fill="F1F5F9"/>
          </w:tcPr>
          <w:p>
            <w:pPr>
              <w:spacing w:after="20"/>
            </w:pPr>
            <w:r/>
            <w:r>
              <w:rPr>
                <w:rFonts w:ascii="Aptos" w:hAnsi="Aptos"/>
                <w:b w:val="0"/>
                <w:sz w:val="17"/>
              </w:rPr>
              <w:t>Appropriate indicators, valid comparisons, thoughtful interpretation, and quality checks.</w:t>
            </w:r>
          </w:p>
        </w:tc>
      </w:tr>
      <w:tr>
        <w:tc>
          <w:tcPr>
            <w:tcW w:type="dxa" w:w="3312"/>
            <w:vAlign w:val="center"/>
          </w:tcPr>
          <w:p>
            <w:pPr>
              <w:spacing w:after="20"/>
            </w:pPr>
            <w:r/>
            <w:r>
              <w:rPr>
                <w:rFonts w:ascii="Aptos" w:hAnsi="Aptos"/>
                <w:b w:val="0"/>
                <w:sz w:val="17"/>
              </w:rPr>
              <w:t>Comprehensiveness of strategy</w:t>
            </w:r>
          </w:p>
        </w:tc>
        <w:tc>
          <w:tcPr>
            <w:tcW w:type="dxa" w:w="3312"/>
            <w:vAlign w:val="center"/>
          </w:tcPr>
          <w:p>
            <w:pPr>
              <w:spacing w:after="20"/>
            </w:pPr>
            <w:r/>
            <w:r>
              <w:rPr>
                <w:rFonts w:ascii="Aptos" w:hAnsi="Aptos"/>
                <w:b w:val="0"/>
                <w:sz w:val="17"/>
              </w:rPr>
              <w:t>20%</w:t>
            </w:r>
          </w:p>
        </w:tc>
        <w:tc>
          <w:tcPr>
            <w:tcW w:type="dxa" w:w="3312"/>
            <w:vAlign w:val="center"/>
          </w:tcPr>
          <w:p>
            <w:pPr>
              <w:spacing w:after="20"/>
            </w:pPr>
            <w:r/>
            <w:r>
              <w:rPr>
                <w:rFonts w:ascii="Aptos" w:hAnsi="Aptos"/>
                <w:b w:val="0"/>
                <w:sz w:val="17"/>
              </w:rPr>
              <w:t>Complete coverage of scope, sources, methods, risks, ethics, deliverables, and timeline.</w:t>
            </w:r>
          </w:p>
        </w:tc>
      </w:tr>
      <w:tr>
        <w:tc>
          <w:tcPr>
            <w:tcW w:type="dxa" w:w="3312"/>
            <w:vAlign w:val="center"/>
            <w:shd w:fill="F1F5F9"/>
          </w:tcPr>
          <w:p>
            <w:pPr>
              <w:spacing w:after="20"/>
            </w:pPr>
            <w:r/>
            <w:r>
              <w:rPr>
                <w:rFonts w:ascii="Aptos" w:hAnsi="Aptos"/>
                <w:b w:val="0"/>
                <w:sz w:val="17"/>
              </w:rPr>
              <w:t>Data-source justification</w:t>
            </w:r>
          </w:p>
        </w:tc>
        <w:tc>
          <w:tcPr>
            <w:tcW w:type="dxa" w:w="3312"/>
            <w:vAlign w:val="center"/>
            <w:shd w:fill="F1F5F9"/>
          </w:tcPr>
          <w:p>
            <w:pPr>
              <w:spacing w:after="20"/>
            </w:pPr>
            <w:r/>
            <w:r>
              <w:rPr>
                <w:rFonts w:ascii="Aptos" w:hAnsi="Aptos"/>
                <w:b w:val="0"/>
                <w:sz w:val="17"/>
              </w:rPr>
              <w:t>15%</w:t>
            </w:r>
          </w:p>
        </w:tc>
        <w:tc>
          <w:tcPr>
            <w:tcW w:type="dxa" w:w="3312"/>
            <w:vAlign w:val="center"/>
            <w:shd w:fill="F1F5F9"/>
          </w:tcPr>
          <w:p>
            <w:pPr>
              <w:spacing w:after="20"/>
            </w:pPr>
            <w:r/>
            <w:r>
              <w:rPr>
                <w:rFonts w:ascii="Aptos" w:hAnsi="Aptos"/>
                <w:b w:val="0"/>
                <w:sz w:val="17"/>
              </w:rPr>
              <w:t>Official provenance, relevance, licensing, and metadata-based selection decisions.</w:t>
            </w:r>
          </w:p>
        </w:tc>
      </w:tr>
      <w:tr>
        <w:tc>
          <w:tcPr>
            <w:tcW w:type="dxa" w:w="3312"/>
            <w:vAlign w:val="center"/>
          </w:tcPr>
          <w:p>
            <w:pPr>
              <w:spacing w:after="20"/>
            </w:pPr>
            <w:r/>
            <w:r>
              <w:rPr>
                <w:rFonts w:ascii="Aptos" w:hAnsi="Aptos"/>
                <w:b w:val="0"/>
                <w:sz w:val="17"/>
              </w:rPr>
              <w:t>Methodological rigor</w:t>
            </w:r>
          </w:p>
        </w:tc>
        <w:tc>
          <w:tcPr>
            <w:tcW w:type="dxa" w:w="3312"/>
            <w:vAlign w:val="center"/>
          </w:tcPr>
          <w:p>
            <w:pPr>
              <w:spacing w:after="20"/>
            </w:pPr>
            <w:r/>
            <w:r>
              <w:rPr>
                <w:rFonts w:ascii="Aptos" w:hAnsi="Aptos"/>
                <w:b w:val="0"/>
                <w:sz w:val="17"/>
              </w:rPr>
              <w:t>20%</w:t>
            </w:r>
          </w:p>
        </w:tc>
        <w:tc>
          <w:tcPr>
            <w:tcW w:type="dxa" w:w="3312"/>
            <w:vAlign w:val="center"/>
          </w:tcPr>
          <w:p>
            <w:pPr>
              <w:spacing w:after="20"/>
            </w:pPr>
            <w:r/>
            <w:r>
              <w:rPr>
                <w:rFonts w:ascii="Aptos" w:hAnsi="Aptos"/>
                <w:b w:val="0"/>
                <w:sz w:val="17"/>
              </w:rPr>
              <w:t>Reproducible Python workflow, documented cleaning, suitable methods, and no unsupported causal claims.</w:t>
            </w:r>
          </w:p>
        </w:tc>
      </w:tr>
      <w:tr>
        <w:tc>
          <w:tcPr>
            <w:tcW w:type="dxa" w:w="3312"/>
            <w:vAlign w:val="center"/>
            <w:shd w:fill="F1F5F9"/>
          </w:tcPr>
          <w:p>
            <w:pPr>
              <w:spacing w:after="20"/>
            </w:pPr>
            <w:r/>
            <w:r>
              <w:rPr>
                <w:rFonts w:ascii="Aptos" w:hAnsi="Aptos"/>
                <w:b w:val="0"/>
                <w:sz w:val="17"/>
              </w:rPr>
              <w:t>Presentation and references</w:t>
            </w:r>
          </w:p>
        </w:tc>
        <w:tc>
          <w:tcPr>
            <w:tcW w:type="dxa" w:w="3312"/>
            <w:vAlign w:val="center"/>
            <w:shd w:fill="F1F5F9"/>
          </w:tcPr>
          <w:p>
            <w:pPr>
              <w:spacing w:after="20"/>
            </w:pPr>
            <w:r/>
            <w:r>
              <w:rPr>
                <w:rFonts w:ascii="Aptos" w:hAnsi="Aptos"/>
                <w:b w:val="0"/>
                <w:sz w:val="17"/>
              </w:rPr>
              <w:t>10%</w:t>
            </w:r>
          </w:p>
        </w:tc>
        <w:tc>
          <w:tcPr>
            <w:tcW w:type="dxa" w:w="3312"/>
            <w:vAlign w:val="center"/>
            <w:shd w:fill="F1F5F9"/>
          </w:tcPr>
          <w:p>
            <w:pPr>
              <w:spacing w:after="20"/>
            </w:pPr>
            <w:r/>
            <w:r>
              <w:rPr>
                <w:rFonts w:ascii="Aptos" w:hAnsi="Aptos"/>
                <w:b w:val="0"/>
                <w:sz w:val="17"/>
              </w:rPr>
              <w:t>Professional DOCX formatting, source links, captions, and complete citations.</w:t>
            </w:r>
          </w:p>
        </w:tc>
      </w:tr>
    </w:tbl>
    <w:p/>
    <w:p>
      <w:r>
        <w:t>The weights are a proposed self-review rubric, not an official grading scheme. They can be adjusted to match the instructor’s rubric if one is provided.</w:t>
      </w:r>
    </w:p>
    <w:p>
      <w:pPr>
        <w:pStyle w:val="Heading1"/>
      </w:pPr>
      <w:r>
        <w:t>13. Recommended Final Report Structure</w:t>
      </w:r>
    </w:p>
    <w:p>
      <w:pPr>
        <w:pStyle w:val="ListNumber"/>
        <w:spacing w:after="60"/>
      </w:pPr>
      <w:r>
        <w:t>Title page and executive summary</w:t>
      </w:r>
    </w:p>
    <w:p>
      <w:pPr>
        <w:pStyle w:val="ListNumber"/>
        <w:spacing w:after="60"/>
      </w:pPr>
      <w:r>
        <w:t>Introduction, problem statement, aim, objectives, and research questions</w:t>
      </w:r>
    </w:p>
    <w:p>
      <w:pPr>
        <w:pStyle w:val="ListNumber"/>
        <w:spacing w:after="60"/>
      </w:pPr>
      <w:r>
        <w:t>Scope, assumptions, and conceptual framework</w:t>
      </w:r>
    </w:p>
    <w:p>
      <w:pPr>
        <w:pStyle w:val="ListNumber"/>
        <w:spacing w:after="60"/>
      </w:pPr>
      <w:r>
        <w:t>Data needs, source inventory, and indicator definitions</w:t>
      </w:r>
    </w:p>
    <w:p>
      <w:pPr>
        <w:pStyle w:val="ListNumber"/>
        <w:spacing w:after="60"/>
      </w:pPr>
      <w:r>
        <w:t>Methodology, Python tools, and reproducible workflow</w:t>
      </w:r>
    </w:p>
    <w:p>
      <w:pPr>
        <w:pStyle w:val="ListNumber"/>
        <w:spacing w:after="60"/>
      </w:pPr>
      <w:r>
        <w:t>Data-quality assessment and limitations</w:t>
      </w:r>
    </w:p>
    <w:p>
      <w:pPr>
        <w:pStyle w:val="ListNumber"/>
        <w:spacing w:after="60"/>
      </w:pPr>
      <w:r>
        <w:t>Results: tables, charts, and descriptive analysis</w:t>
      </w:r>
    </w:p>
    <w:p>
      <w:pPr>
        <w:pStyle w:val="ListNumber"/>
        <w:spacing w:after="60"/>
      </w:pPr>
      <w:r>
        <w:t>Discussion: interpretation and comparison with official reports</w:t>
      </w:r>
    </w:p>
    <w:p>
      <w:pPr>
        <w:pStyle w:val="ListNumber"/>
        <w:spacing w:after="60"/>
      </w:pPr>
      <w:r>
        <w:t>Recommendations and implementation priorities</w:t>
      </w:r>
    </w:p>
    <w:p>
      <w:pPr>
        <w:pStyle w:val="ListNumber"/>
        <w:spacing w:after="60"/>
      </w:pPr>
      <w:r>
        <w:t>Risks, ethics, and future work</w:t>
      </w:r>
    </w:p>
    <w:p>
      <w:pPr>
        <w:pStyle w:val="ListNumber"/>
        <w:spacing w:after="60"/>
      </w:pPr>
      <w:r>
        <w:t>Timeline and conclusion</w:t>
      </w:r>
    </w:p>
    <w:p>
      <w:pPr>
        <w:pStyle w:val="ListNumber"/>
        <w:spacing w:after="60"/>
      </w:pPr>
      <w:r>
        <w:t>References and appendices (data dictionary, cleaning log, extra charts)</w:t>
      </w:r>
    </w:p>
    <w:p>
      <w:pPr>
        <w:pStyle w:val="Heading1"/>
      </w:pPr>
      <w:r>
        <w:t>14. Preliminary Recommendation Priorities</w:t>
      </w:r>
    </w:p>
    <w:p>
      <w:r>
        <w:t>These are hypotheses to test, not conclusions about any specific service. Final recommendations must be revised after the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Priority area</w:t>
            </w:r>
          </w:p>
        </w:tc>
        <w:tc>
          <w:tcPr>
            <w:tcW w:type="dxa" w:w="3312"/>
            <w:vAlign w:val="center"/>
            <w:shd w:fill="17365D"/>
          </w:tcPr>
          <w:p>
            <w:pPr>
              <w:spacing w:after="20"/>
            </w:pPr>
            <w:r/>
            <w:r>
              <w:rPr>
                <w:rFonts w:ascii="Aptos" w:hAnsi="Aptos"/>
                <w:b/>
                <w:color w:val="FFFFFF"/>
                <w:sz w:val="18"/>
              </w:rPr>
              <w:t>Evidence that would justify action</w:t>
            </w:r>
          </w:p>
        </w:tc>
        <w:tc>
          <w:tcPr>
            <w:tcW w:type="dxa" w:w="3312"/>
            <w:vAlign w:val="center"/>
            <w:shd w:fill="17365D"/>
          </w:tcPr>
          <w:p>
            <w:pPr>
              <w:spacing w:after="20"/>
            </w:pPr>
            <w:r/>
            <w:r>
              <w:rPr>
                <w:rFonts w:ascii="Aptos" w:hAnsi="Aptos"/>
                <w:b/>
                <w:color w:val="FFFFFF"/>
                <w:sz w:val="18"/>
              </w:rPr>
              <w:t>Potential response</w:t>
            </w:r>
          </w:p>
        </w:tc>
      </w:tr>
      <w:tr>
        <w:tc>
          <w:tcPr>
            <w:tcW w:type="dxa" w:w="3312"/>
            <w:vAlign w:val="center"/>
          </w:tcPr>
          <w:p>
            <w:pPr>
              <w:spacing w:after="20"/>
            </w:pPr>
            <w:r/>
            <w:r>
              <w:rPr>
                <w:rFonts w:ascii="Aptos" w:hAnsi="Aptos"/>
                <w:b w:val="0"/>
                <w:sz w:val="17"/>
              </w:rPr>
              <w:t>Reduce processing delays</w:t>
            </w:r>
          </w:p>
        </w:tc>
        <w:tc>
          <w:tcPr>
            <w:tcW w:type="dxa" w:w="3312"/>
            <w:vAlign w:val="center"/>
          </w:tcPr>
          <w:p>
            <w:pPr>
              <w:spacing w:after="20"/>
            </w:pPr>
            <w:r/>
            <w:r>
              <w:rPr>
                <w:rFonts w:ascii="Aptos" w:hAnsi="Aptos"/>
                <w:b w:val="0"/>
                <w:sz w:val="17"/>
              </w:rPr>
              <w:t>Consistently high processing times or backlog against a published service standard.</w:t>
            </w:r>
          </w:p>
        </w:tc>
        <w:tc>
          <w:tcPr>
            <w:tcW w:type="dxa" w:w="3312"/>
            <w:vAlign w:val="center"/>
          </w:tcPr>
          <w:p>
            <w:pPr>
              <w:spacing w:after="20"/>
            </w:pPr>
            <w:r/>
            <w:r>
              <w:rPr>
                <w:rFonts w:ascii="Aptos" w:hAnsi="Aptos"/>
                <w:b w:val="0"/>
                <w:sz w:val="17"/>
              </w:rPr>
              <w:t>Map process stages, review bottlenecks, publish time-based service metrics.</w:t>
            </w:r>
          </w:p>
        </w:tc>
      </w:tr>
      <w:tr>
        <w:tc>
          <w:tcPr>
            <w:tcW w:type="dxa" w:w="3312"/>
            <w:vAlign w:val="center"/>
            <w:shd w:fill="F1F5F9"/>
          </w:tcPr>
          <w:p>
            <w:pPr>
              <w:spacing w:after="20"/>
            </w:pPr>
            <w:r/>
            <w:r>
              <w:rPr>
                <w:rFonts w:ascii="Aptos" w:hAnsi="Aptos"/>
                <w:b w:val="0"/>
                <w:sz w:val="17"/>
              </w:rPr>
              <w:t>Improve grievance resolution</w:t>
            </w:r>
          </w:p>
        </w:tc>
        <w:tc>
          <w:tcPr>
            <w:tcW w:type="dxa" w:w="3312"/>
            <w:vAlign w:val="center"/>
            <w:shd w:fill="F1F5F9"/>
          </w:tcPr>
          <w:p>
            <w:pPr>
              <w:spacing w:after="20"/>
            </w:pPr>
            <w:r/>
            <w:r>
              <w:rPr>
                <w:rFonts w:ascii="Aptos" w:hAnsi="Aptos"/>
                <w:b w:val="0"/>
                <w:sz w:val="17"/>
              </w:rPr>
              <w:t>Long resolution times, unresolved backlog, or high reopening rates.</w:t>
            </w:r>
          </w:p>
        </w:tc>
        <w:tc>
          <w:tcPr>
            <w:tcW w:type="dxa" w:w="3312"/>
            <w:vAlign w:val="center"/>
            <w:shd w:fill="F1F5F9"/>
          </w:tcPr>
          <w:p>
            <w:pPr>
              <w:spacing w:after="20"/>
            </w:pPr>
            <w:r/>
            <w:r>
              <w:rPr>
                <w:rFonts w:ascii="Aptos" w:hAnsi="Aptos"/>
                <w:b w:val="0"/>
                <w:sz w:val="17"/>
              </w:rPr>
              <w:t>Clarify escalation paths, publish resolution definitions, and monitor aged cases.</w:t>
            </w:r>
          </w:p>
        </w:tc>
      </w:tr>
      <w:tr>
        <w:tc>
          <w:tcPr>
            <w:tcW w:type="dxa" w:w="3312"/>
            <w:vAlign w:val="center"/>
          </w:tcPr>
          <w:p>
            <w:pPr>
              <w:spacing w:after="20"/>
            </w:pPr>
            <w:r/>
            <w:r>
              <w:rPr>
                <w:rFonts w:ascii="Aptos" w:hAnsi="Aptos"/>
                <w:b w:val="0"/>
                <w:sz w:val="17"/>
              </w:rPr>
              <w:t>Strengthen inclusion</w:t>
            </w:r>
          </w:p>
        </w:tc>
        <w:tc>
          <w:tcPr>
            <w:tcW w:type="dxa" w:w="3312"/>
            <w:vAlign w:val="center"/>
          </w:tcPr>
          <w:p>
            <w:pPr>
              <w:spacing w:after="20"/>
            </w:pPr>
            <w:r/>
            <w:r>
              <w:rPr>
                <w:rFonts w:ascii="Aptos" w:hAnsi="Aptos"/>
                <w:b w:val="0"/>
                <w:sz w:val="17"/>
              </w:rPr>
              <w:t>Evidence of uneven access combined with limited language, accessibility, or assisted-service support.</w:t>
            </w:r>
          </w:p>
        </w:tc>
        <w:tc>
          <w:tcPr>
            <w:tcW w:type="dxa" w:w="3312"/>
            <w:vAlign w:val="center"/>
          </w:tcPr>
          <w:p>
            <w:pPr>
              <w:spacing w:after="20"/>
            </w:pPr>
            <w:r/>
            <w:r>
              <w:rPr>
                <w:rFonts w:ascii="Aptos" w:hAnsi="Aptos"/>
                <w:b w:val="0"/>
                <w:sz w:val="17"/>
              </w:rPr>
              <w:t>Improve accessibility, multilingual instructions, and assisted offline-to-online channels.</w:t>
            </w:r>
          </w:p>
        </w:tc>
      </w:tr>
      <w:tr>
        <w:tc>
          <w:tcPr>
            <w:tcW w:type="dxa" w:w="3312"/>
            <w:vAlign w:val="center"/>
            <w:shd w:fill="F1F5F9"/>
          </w:tcPr>
          <w:p>
            <w:pPr>
              <w:spacing w:after="20"/>
            </w:pPr>
            <w:r/>
            <w:r>
              <w:rPr>
                <w:rFonts w:ascii="Aptos" w:hAnsi="Aptos"/>
                <w:b w:val="0"/>
                <w:sz w:val="17"/>
              </w:rPr>
              <w:t>Increase transparency</w:t>
            </w:r>
          </w:p>
        </w:tc>
        <w:tc>
          <w:tcPr>
            <w:tcW w:type="dxa" w:w="3312"/>
            <w:vAlign w:val="center"/>
            <w:shd w:fill="F1F5F9"/>
          </w:tcPr>
          <w:p>
            <w:pPr>
              <w:spacing w:after="20"/>
            </w:pPr>
            <w:r/>
            <w:r>
              <w:rPr>
                <w:rFonts w:ascii="Aptos" w:hAnsi="Aptos"/>
                <w:b w:val="0"/>
                <w:sz w:val="17"/>
              </w:rPr>
              <w:t>Missing service standards, fees, status information, or performance reporting.</w:t>
            </w:r>
          </w:p>
        </w:tc>
        <w:tc>
          <w:tcPr>
            <w:tcW w:type="dxa" w:w="3312"/>
            <w:vAlign w:val="center"/>
            <w:shd w:fill="F1F5F9"/>
          </w:tcPr>
          <w:p>
            <w:pPr>
              <w:spacing w:after="20"/>
            </w:pPr>
            <w:r/>
            <w:r>
              <w:rPr>
                <w:rFonts w:ascii="Aptos" w:hAnsi="Aptos"/>
                <w:b w:val="0"/>
                <w:sz w:val="17"/>
              </w:rPr>
              <w:t>Publish plain-language requirements, timelines, fees, and service-level statistics.</w:t>
            </w:r>
          </w:p>
        </w:tc>
      </w:tr>
      <w:tr>
        <w:tc>
          <w:tcPr>
            <w:tcW w:type="dxa" w:w="3312"/>
            <w:vAlign w:val="center"/>
          </w:tcPr>
          <w:p>
            <w:pPr>
              <w:spacing w:after="20"/>
            </w:pPr>
            <w:r/>
            <w:r>
              <w:rPr>
                <w:rFonts w:ascii="Aptos" w:hAnsi="Aptos"/>
                <w:b w:val="0"/>
                <w:sz w:val="17"/>
              </w:rPr>
              <w:t>Improve data governance</w:t>
            </w:r>
          </w:p>
        </w:tc>
        <w:tc>
          <w:tcPr>
            <w:tcW w:type="dxa" w:w="3312"/>
            <w:vAlign w:val="center"/>
          </w:tcPr>
          <w:p>
            <w:pPr>
              <w:spacing w:after="20"/>
            </w:pPr>
            <w:r/>
            <w:r>
              <w:rPr>
                <w:rFonts w:ascii="Aptos" w:hAnsi="Aptos"/>
                <w:b w:val="0"/>
                <w:sz w:val="17"/>
              </w:rPr>
              <w:t>Frequent missingness, inconsistent definitions, or irregular updates.</w:t>
            </w:r>
          </w:p>
        </w:tc>
        <w:tc>
          <w:tcPr>
            <w:tcW w:type="dxa" w:w="3312"/>
            <w:vAlign w:val="center"/>
          </w:tcPr>
          <w:p>
            <w:pPr>
              <w:spacing w:after="20"/>
            </w:pPr>
            <w:r/>
            <w:r>
              <w:rPr>
                <w:rFonts w:ascii="Aptos" w:hAnsi="Aptos"/>
                <w:b w:val="0"/>
                <w:sz w:val="17"/>
              </w:rPr>
              <w:t>Adopt standard indicator definitions, data-quality checks, and update schedules.</w:t>
            </w:r>
          </w:p>
        </w:tc>
      </w:tr>
    </w:tbl>
    <w:p/>
    <w:p>
      <w:pPr>
        <w:pStyle w:val="Heading1"/>
      </w:pPr>
      <w:r>
        <w:t>15. Conclusion</w:t>
      </w:r>
    </w:p>
    <w:p>
      <w:r>
        <w:t>This strategic plan establishes a practical and responsible method for analysing digital services and e-governance using public data and Python. Its central principle is that trustworthy recommendations depend on transparent source selection, consistent indicator definitions, careful data-quality assessment, reproducible analysis, and honest communication of limitations. By focusing on a manageable set of measurable questions, the project can deliver useful insights without overstating what the data prove.</w:t>
      </w:r>
    </w:p>
    <w:p>
      <w:pPr>
        <w:pStyle w:val="Heading1"/>
      </w:pPr>
      <w:r>
        <w:t>References and Research Links</w:t>
      </w:r>
    </w:p>
    <w:p>
      <w:pPr>
        <w:spacing w:after="80"/>
      </w:pPr>
      <w:r>
        <w:rPr>
          <w:b/>
        </w:rPr>
        <w:t xml:space="preserve">1. Open Government Data Platform India (data.gov.in). </w:t>
      </w:r>
      <w:r>
        <w:t>https://data.gov.in/</w:t>
        <w:br/>
      </w:r>
      <w:r>
        <w:t>Official Indian open-data portal; review dataset-specific metadata, ownership, and licence before use.</w:t>
      </w:r>
    </w:p>
    <w:p>
      <w:pPr>
        <w:spacing w:after="80"/>
      </w:pPr>
      <w:r>
        <w:rPr>
          <w:b/>
        </w:rPr>
        <w:t xml:space="preserve">2. World Bank. GovTech Maturity Index 2025 Update. </w:t>
      </w:r>
      <w:r>
        <w:t>https://www.worldbank.org/en/programs/govtech/gtmi-2025-update</w:t>
        <w:br/>
      </w:r>
      <w:r>
        <w:t>Overview of the 2025 framework and four GovTech focus areas.</w:t>
      </w:r>
    </w:p>
    <w:p>
      <w:pPr>
        <w:spacing w:after="80"/>
      </w:pPr>
      <w:r>
        <w:rPr>
          <w:b/>
        </w:rPr>
        <w:t xml:space="preserve">3. World Bank Data Catalog. GovTech Dataset. </w:t>
      </w:r>
      <w:r>
        <w:t>https://datacatalog.worldbank.org/search/dataset/0037889/govtech-dataset</w:t>
        <w:br/>
      </w:r>
      <w:r>
        <w:t>Dataset versions, metadata, coverage, and access information.</w:t>
      </w:r>
    </w:p>
    <w:p>
      <w:pPr>
        <w:spacing w:after="80"/>
      </w:pPr>
      <w:r>
        <w:rPr>
          <w:b/>
        </w:rPr>
        <w:t xml:space="preserve">4. World Bank. GovTech Data and Analytics. </w:t>
      </w:r>
      <w:r>
        <w:t>https://www.worldbank.org/en/programs/govtech/knowledge-and-innovation/data</w:t>
        <w:br/>
      </w:r>
      <w:r>
        <w:t>Additional GovTech datasets and analytical resources.</w:t>
      </w:r>
    </w:p>
    <w:p>
      <w:pPr>
        <w:spacing w:after="80"/>
      </w:pPr>
      <w:r>
        <w:rPr>
          <w:b/>
        </w:rPr>
        <w:t xml:space="preserve">5. World Bank DataBank. Service Delivery Indicators. </w:t>
      </w:r>
      <w:r>
        <w:t>https://databank.worldbank.org/reports.aspx?source=service-delivery-indicators</w:t>
        <w:br/>
      </w:r>
      <w:r>
        <w:t>Example of a structured service-delivery indicator database; relevance to the final project must be checked.</w:t>
      </w:r>
    </w:p>
    <w:p>
      <w:pPr>
        <w:spacing w:after="80"/>
      </w:pPr>
      <w:r>
        <w:rPr>
          <w:b/>
        </w:rPr>
        <w:t xml:space="preserve">6. World Bank Data Catalog. Digital Governance Projects Database. </w:t>
      </w:r>
      <w:r>
        <w:t>https://datacatalog.worldbank.org/infrastructure-data/search/dataset/0038056/digital-governance-projects-database</w:t>
        <w:br/>
      </w:r>
      <w:r>
        <w:t>Background on digital government investments and project information.</w:t>
      </w:r>
    </w:p>
    <w:p>
      <w:pPr>
        <w:pStyle w:val="Heading1"/>
      </w:pPr>
      <w:r>
        <w:t>Appendix A — Suggested Initial Analysis Checklist</w:t>
      </w:r>
    </w:p>
    <w:p>
      <w:pPr>
        <w:pStyle w:val="ListBullet"/>
        <w:spacing w:after="40"/>
      </w:pPr>
      <w:r>
        <w:t>☐ Can the source and publisher be verified?</w:t>
      </w:r>
    </w:p>
    <w:p>
      <w:pPr>
        <w:pStyle w:val="ListBullet"/>
        <w:spacing w:after="40"/>
      </w:pPr>
      <w:r>
        <w:t>☐ Is the data public and permitted for reuse?</w:t>
      </w:r>
    </w:p>
    <w:p>
      <w:pPr>
        <w:pStyle w:val="ListBullet"/>
        <w:spacing w:after="40"/>
      </w:pPr>
      <w:r>
        <w:t>☐ Are definitions, units, date coverage, and geographic coverage documented?</w:t>
      </w:r>
    </w:p>
    <w:p>
      <w:pPr>
        <w:pStyle w:val="ListBullet"/>
        <w:spacing w:after="40"/>
      </w:pPr>
      <w:r>
        <w:t>☐ Are denominators available for rate calculations?</w:t>
      </w:r>
    </w:p>
    <w:p>
      <w:pPr>
        <w:pStyle w:val="ListBullet"/>
        <w:spacing w:after="40"/>
      </w:pPr>
      <w:r>
        <w:t>☐ Are missing values and revisions understood?</w:t>
      </w:r>
    </w:p>
    <w:p>
      <w:pPr>
        <w:pStyle w:val="ListBullet"/>
        <w:spacing w:after="40"/>
      </w:pPr>
      <w:r>
        <w:t>☐ Are the selected periods comparable across groups?</w:t>
      </w:r>
    </w:p>
    <w:p>
      <w:pPr>
        <w:pStyle w:val="ListBullet"/>
        <w:spacing w:after="40"/>
      </w:pPr>
      <w:r>
        <w:t>☐ Are the conclusions descriptive rather than causal unless the design supports causality?</w:t>
      </w:r>
    </w:p>
    <w:p>
      <w:pPr>
        <w:pStyle w:val="ListBullet"/>
        <w:spacing w:after="40"/>
      </w:pPr>
      <w:r>
        <w:t>☐ Can another analyst rerun the code and reproduce the charts?</w:t>
      </w:r>
    </w:p>
    <w:p>
      <w:pPr>
        <w:pStyle w:val="ListBullet"/>
        <w:spacing w:after="40"/>
      </w:pPr>
      <w:r>
        <w:t>☐ Are all figures labelled with units, period, source, and relevant caveats?</w:t>
      </w:r>
    </w:p>
    <w:p>
      <w:pPr>
        <w:pStyle w:val="ListBullet"/>
        <w:spacing w:after="40"/>
      </w:pPr>
      <w:r>
        <w:t>☐ Are the recommendations traceable to evidence?</w:t>
      </w:r>
    </w:p>
    <w:p>
      <w:pPr>
        <w:pStyle w:val="Heading1"/>
      </w:pPr>
      <w:r>
        <w:t>Appendix B — Example Python Starter Workflow</w:t>
      </w:r>
    </w:p>
    <w:p>
      <w:r>
        <w:t>The following is a template only. Replace the filename and column names after inspecting the selected public dataset.</w:t>
      </w:r>
    </w:p>
    <w:p>
      <w:r>
        <w:rPr>
          <w:rFonts w:ascii="Consolas" w:hAnsi="Consolas"/>
          <w:sz w:val="17"/>
        </w:rPr>
        <w:t>import pandas as pd</w:t>
        <w:br/>
        <w:t>import matplotlib.pyplot as plt</w:t>
        <w:br/>
        <w:br/>
        <w:t># Load a downloaded public dataset; preserve the original file unchanged.</w:t>
        <w:br/>
        <w:t>df = pd.read_csv("data/raw/example_public_dataset.csv")</w:t>
        <w:br/>
        <w:br/>
        <w:t># Inspect the dataset before cleaning.</w:t>
        <w:br/>
        <w:t>print(df.shape)</w:t>
        <w:br/>
        <w:t>print(df.head())</w:t>
        <w:br/>
        <w:t>print(df.info())</w:t>
        <w:br/>
        <w:t>print(df.isna().mean().sort_values(ascending=False))</w:t>
        <w:br/>
        <w:br/>
        <w:t># Example: after verifying that these columns exist and have valid definitions:</w:t>
        <w:br/>
        <w:t># df["period"] = pd.to_datetime(df["period"], errors="coerce")</w:t>
        <w:br/>
        <w:t># df["value"] = pd.to_numeric(df["value"], errors="coerce")</w:t>
        <w:br/>
        <w:br/>
        <w:t># Check duplicate records and document any removal decision.</w:t>
        <w:br/>
        <w:t>print("Duplicate rows:", df.duplicated().sum())</w:t>
        <w:br/>
        <w:br/>
        <w:t># Example trend chart after confirming the relevant columns and units:</w:t>
        <w:br/>
        <w:t># trend = df.groupby("period", as_index=False)["value"].sum()</w:t>
        <w:br/>
        <w:t># trend.plot(x="period", y="value", kind="line", marker="o", legend=False)</w:t>
        <w:br/>
        <w:t># plt.title("Public service indicator over time")</w:t>
        <w:br/>
        <w:t># plt.xlabel("Reporting period")</w:t>
        <w:br/>
        <w:t># plt.ylabel("Value (confirm unit)")</w:t>
        <w:br/>
        <w:t># plt.tight_layout()</w:t>
        <w:br/>
        <w:t># plt.show()</w:t>
        <w:br/>
      </w:r>
    </w:p>
    <w:p>
      <w:r>
        <w:t>Important: this document is a strategic plan, not a completed empirical study. Actual findings, charts, and service-specific recommendations should be added only after collecting and validating the selected datasets.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Python-Based Public Service Data Analysis  •  Prepared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STRATEGIC PROJECT PLAN  |  DIGITAL SERVICES &amp; E-GOVERNANCE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75A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