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07C91"/>
          <w:sz w:val="28"/>
        </w:rPr>
        <w:t>WEEK 2 • TECHNICAL FRAMEWORK</w:t>
      </w:r>
    </w:p>
    <w:p>
      <w:pPr>
        <w:spacing w:before="240"/>
        <w:jc w:val="center"/>
      </w:pPr>
      <w:r>
        <w:rPr>
          <w:rFonts w:ascii="Aptos Display" w:hAnsi="Aptos Display"/>
          <w:b/>
          <w:color w:val="17365D"/>
          <w:sz w:val="58"/>
        </w:rPr>
        <w:t>Data Collection &amp;</w:t>
        <w:br/>
        <w:t>Preprocessing Framework</w:t>
      </w:r>
    </w:p>
    <w:p>
      <w:pPr>
        <w:spacing w:before="240"/>
        <w:jc w:val="center"/>
      </w:pPr>
      <w:r>
        <w:rPr>
          <w:color w:val="4B5A69"/>
          <w:sz w:val="30"/>
        </w:rPr>
        <w:t>E-Governance &amp; Digital Services Analysis</w:t>
      </w:r>
    </w:p>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E7EEF6"/>
          </w:tcPr>
          <w:p>
            <w:pPr>
              <w:spacing w:after="20"/>
            </w:pPr>
            <w:r/>
            <w:r>
              <w:rPr>
                <w:rFonts w:ascii="Aptos" w:hAnsi="Aptos"/>
                <w:b/>
                <w:color w:val="17365D"/>
                <w:sz w:val="20"/>
              </w:rPr>
              <w:t>Internship</w:t>
            </w:r>
          </w:p>
        </w:tc>
        <w:tc>
          <w:tcPr>
            <w:tcW w:type="dxa" w:w="4997"/>
            <w:vAlign w:val="center"/>
          </w:tcPr>
          <w:p>
            <w:pPr>
              <w:spacing w:after="20"/>
            </w:pPr>
            <w:r/>
            <w:r>
              <w:rPr>
                <w:rFonts w:ascii="Aptos" w:hAnsi="Aptos"/>
                <w:b w:val="0"/>
                <w:sz w:val="20"/>
              </w:rPr>
              <w:t>Yuva Virtual Data Analysis Internship</w:t>
            </w:r>
          </w:p>
        </w:tc>
      </w:tr>
      <w:tr>
        <w:tc>
          <w:tcPr>
            <w:tcW w:type="dxa" w:w="4997"/>
            <w:vAlign w:val="center"/>
            <w:shd w:fill="E7EEF6"/>
          </w:tcPr>
          <w:p>
            <w:pPr>
              <w:spacing w:after="20"/>
            </w:pPr>
            <w:r/>
            <w:r>
              <w:rPr>
                <w:rFonts w:ascii="Aptos" w:hAnsi="Aptos"/>
                <w:b/>
                <w:color w:val="17365D"/>
                <w:sz w:val="20"/>
              </w:rPr>
              <w:t>Task</w:t>
            </w:r>
          </w:p>
        </w:tc>
        <w:tc>
          <w:tcPr>
            <w:tcW w:type="dxa" w:w="4997"/>
            <w:vAlign w:val="center"/>
          </w:tcPr>
          <w:p>
            <w:pPr>
              <w:spacing w:after="20"/>
            </w:pPr>
            <w:r/>
            <w:r>
              <w:rPr>
                <w:rFonts w:ascii="Aptos" w:hAnsi="Aptos"/>
                <w:b w:val="0"/>
                <w:sz w:val="20"/>
              </w:rPr>
              <w:t>Week 2 — Data Collection &amp; Preprocessing Framework</w:t>
            </w:r>
          </w:p>
        </w:tc>
      </w:tr>
      <w:tr>
        <w:tc>
          <w:tcPr>
            <w:tcW w:type="dxa" w:w="4997"/>
            <w:vAlign w:val="center"/>
            <w:shd w:fill="E7EEF6"/>
          </w:tcPr>
          <w:p>
            <w:pPr>
              <w:spacing w:after="20"/>
            </w:pPr>
            <w:r/>
            <w:r>
              <w:rPr>
                <w:rFonts w:ascii="Aptos" w:hAnsi="Aptos"/>
                <w:b/>
                <w:color w:val="17365D"/>
                <w:sz w:val="20"/>
              </w:rPr>
              <w:t>Study context</w:t>
            </w:r>
          </w:p>
        </w:tc>
        <w:tc>
          <w:tcPr>
            <w:tcW w:type="dxa" w:w="4997"/>
            <w:vAlign w:val="center"/>
          </w:tcPr>
          <w:p>
            <w:pPr>
              <w:spacing w:after="20"/>
            </w:pPr>
            <w:r/>
            <w:r>
              <w:rPr>
                <w:rFonts w:ascii="Aptos" w:hAnsi="Aptos"/>
                <w:b w:val="0"/>
                <w:sz w:val="20"/>
              </w:rPr>
              <w:t>Public digital services and e-governance in India</w:t>
            </w:r>
          </w:p>
        </w:tc>
      </w:tr>
      <w:tr>
        <w:tc>
          <w:tcPr>
            <w:tcW w:type="dxa" w:w="4997"/>
            <w:vAlign w:val="center"/>
            <w:shd w:fill="E7EEF6"/>
          </w:tcPr>
          <w:p>
            <w:pPr>
              <w:spacing w:after="20"/>
            </w:pPr>
            <w:r/>
            <w:r>
              <w:rPr>
                <w:rFonts w:ascii="Aptos" w:hAnsi="Aptos"/>
                <w:b/>
                <w:color w:val="17365D"/>
                <w:sz w:val="20"/>
              </w:rPr>
              <w:t>Planned effort</w:t>
            </w:r>
          </w:p>
        </w:tc>
        <w:tc>
          <w:tcPr>
            <w:tcW w:type="dxa" w:w="4997"/>
            <w:vAlign w:val="center"/>
          </w:tcPr>
          <w:p>
            <w:pPr>
              <w:spacing w:after="20"/>
            </w:pPr>
            <w:r/>
            <w:r>
              <w:rPr>
                <w:rFonts w:ascii="Aptos" w:hAnsi="Aptos"/>
                <w:b w:val="0"/>
                <w:sz w:val="20"/>
              </w:rPr>
              <w:t>33 hours</w:t>
            </w:r>
          </w:p>
        </w:tc>
      </w:tr>
    </w:tbl>
    <w:p>
      <w:pPr>
        <w:spacing w:before="500"/>
        <w:jc w:val="center"/>
      </w:pPr>
      <w:r>
        <w:rPr>
          <w:b/>
          <w:color w:val="007C91"/>
          <w:sz w:val="24"/>
        </w:rPr>
        <w:t>Purpose</w:t>
      </w:r>
    </w:p>
    <w:p>
      <w:pPr>
        <w:ind w:left="936" w:right="936"/>
        <w:jc w:val="center"/>
      </w:pPr>
      <w:r>
        <w:t>To define a repeatable, secure, and documented process for discovering public datasets, collecting raw data, validating source metadata, cleaning and transforming records, and producing analysis-ready data using Python.</w:t>
      </w:r>
    </w:p>
    <w:p>
      <w:r>
        <w:br w:type="page"/>
      </w:r>
    </w:p>
    <w:p>
      <w:pPr>
        <w:pStyle w:val="Heading1"/>
      </w:pPr>
      <w:r>
        <w:t>Executive Summary</w:t>
      </w:r>
    </w:p>
    <w:p>
      <w:r>
        <w:t>This document presents a technical and strategic framework for collecting and preprocessing public data related to e-governance and digital public services. The goal is to simulate a realistic data pipeline that turns raw public files or documented API responses into reliable, well-described datasets suitable for later exploratory data analysis. The framework prioritizes official sources, traceable metadata, data minimization, reproducible transformations, and explicit quality checks.</w:t>
      </w:r>
    </w:p>
    <w:p>
      <w:r>
        <w:t>Potential sources include India's Open Government Data Platform, relevant ministry or state service reports, and the World Bank's GovTech resources. Candidate data may describe online service availability, transactions, grievance handling, processing times, connectivity, and aggregate demographic context. These are proposed sources and indicators; availability and definitions must be verified for each chosen dataset before analysis.</w:t>
      </w:r>
    </w:p>
    <w:p>
      <w:r>
        <w:t>The proposed Python stack includes pandas for tabular processing, NumPy for numeric operations, scikit-learn for selected preprocessing utilities when analytically justified, and Matplotlib/Seaborn for diagnostic plots. The workflow separates raw, intermediate, and processed files; records source URLs and access dates; checks schema and data quality; and produces a cleaning log and data dictionary. A 33-hour schedule is included, aligned with the internship’s 30–35-hour estimate.</w:t>
      </w:r>
    </w:p>
    <w:p>
      <w:pPr>
        <w:pStyle w:val="Heading2"/>
      </w:pPr>
      <w:r>
        <w:t>Key Design Principles</w:t>
      </w:r>
    </w:p>
    <w:p>
      <w:pPr>
        <w:pStyle w:val="ListBullet"/>
        <w:spacing w:after="40"/>
      </w:pPr>
      <w:r>
        <w:t>Prefer authoritative sources and record provenance for every dataset.</w:t>
      </w:r>
    </w:p>
    <w:p>
      <w:pPr>
        <w:pStyle w:val="ListBullet"/>
        <w:spacing w:after="40"/>
      </w:pPr>
      <w:r>
        <w:t>Keep raw files unchanged; make all transformations reproducible.</w:t>
      </w:r>
    </w:p>
    <w:p>
      <w:pPr>
        <w:pStyle w:val="ListBullet"/>
        <w:spacing w:after="40"/>
      </w:pPr>
      <w:r>
        <w:t>Do not silently delete records, fill missing values, or modify outliers.</w:t>
      </w:r>
    </w:p>
    <w:p>
      <w:pPr>
        <w:pStyle w:val="ListBullet"/>
        <w:spacing w:after="40"/>
      </w:pPr>
      <w:r>
        <w:t>Use only public data that may lawfully be accessed and reused; avoid personal identifiers.</w:t>
      </w:r>
    </w:p>
    <w:p>
      <w:pPr>
        <w:pStyle w:val="ListBullet"/>
        <w:spacing w:after="40"/>
      </w:pPr>
      <w:r>
        <w:t>Choose preprocessing methods based on the meaning of each variable and the planned analysis.</w:t>
      </w:r>
    </w:p>
    <w:p>
      <w:pPr>
        <w:pStyle w:val="ListBullet"/>
        <w:spacing w:after="40"/>
      </w:pPr>
      <w:r>
        <w:t>Treat the result as analysis-ready only after validation checks pass and limitations are documented.</w:t>
      </w:r>
    </w:p>
    <w:p>
      <w:pPr>
        <w:pStyle w:val="Heading1"/>
      </w:pPr>
      <w:r>
        <w:t>1. Objectives and Scope</w:t>
      </w:r>
    </w:p>
    <w:p>
      <w:pPr>
        <w:pStyle w:val="Heading2"/>
      </w:pPr>
      <w:r>
        <w:t>1.1 Objectives</w:t>
      </w:r>
    </w:p>
    <w:p>
      <w:pPr>
        <w:pStyle w:val="ListBullet"/>
        <w:spacing w:after="40"/>
      </w:pPr>
      <w:r>
        <w:t>Identify a manageable set of public datasets representative of digital government services and e-governance initiatives.</w:t>
      </w:r>
    </w:p>
    <w:p>
      <w:pPr>
        <w:pStyle w:val="ListBullet"/>
        <w:spacing w:after="40"/>
      </w:pPr>
      <w:r>
        <w:t>Document source metadata, access methods, file formats, update frequency, coverage, licence, and known limitations.</w:t>
      </w:r>
    </w:p>
    <w:p>
      <w:pPr>
        <w:pStyle w:val="ListBullet"/>
        <w:spacing w:after="40"/>
      </w:pPr>
      <w:r>
        <w:t>Specify a step-by-step acquisition procedure for manual downloads and documented public APIs.</w:t>
      </w:r>
    </w:p>
    <w:p>
      <w:pPr>
        <w:pStyle w:val="ListBullet"/>
        <w:spacing w:after="40"/>
      </w:pPr>
      <w:r>
        <w:t>Define Python preprocessing techniques for missing values, duplicate records, data types, inconsistent categories, dates, units, and outliers.</w:t>
      </w:r>
    </w:p>
    <w:p>
      <w:pPr>
        <w:pStyle w:val="ListBullet"/>
        <w:spacing w:after="40"/>
      </w:pPr>
      <w:r>
        <w:t>Establish validation rules and quality checks that help prevent misleading analysis.</w:t>
      </w:r>
    </w:p>
    <w:p>
      <w:pPr>
        <w:pStyle w:val="ListBullet"/>
        <w:spacing w:after="40"/>
      </w:pPr>
      <w:r>
        <w:t>Create a repeatable workflow from raw data storage to cleaned, documented outputs.</w:t>
      </w:r>
    </w:p>
    <w:p>
      <w:pPr>
        <w:pStyle w:val="ListBullet"/>
        <w:spacing w:after="40"/>
      </w:pPr>
      <w:r>
        <w:t>Estimate the time required and define the deliverables and completion criteria.</w:t>
      </w:r>
    </w:p>
    <w:p>
      <w:pPr>
        <w:pStyle w:val="Heading2"/>
      </w:pPr>
      <w:r>
        <w:t>1.2 Scope and boundaries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pPr>
              <w:spacing w:after="20"/>
            </w:pPr>
            <w:r/>
            <w:r>
              <w:rPr>
                <w:rFonts w:ascii="Aptos" w:hAnsi="Aptos"/>
                <w:b/>
                <w:color w:val="FFFFFF"/>
                <w:sz w:val="17"/>
              </w:rPr>
              <w:t>Included</w:t>
            </w:r>
          </w:p>
        </w:tc>
        <w:tc>
          <w:tcPr>
            <w:tcW w:type="dxa" w:w="4997"/>
            <w:vAlign w:val="center"/>
            <w:shd w:fill="17365D"/>
          </w:tcPr>
          <w:p>
            <w:pPr>
              <w:spacing w:after="20"/>
            </w:pPr>
            <w:r/>
            <w:r>
              <w:rPr>
                <w:rFonts w:ascii="Aptos" w:hAnsi="Aptos"/>
                <w:b/>
                <w:color w:val="FFFFFF"/>
                <w:sz w:val="17"/>
              </w:rPr>
              <w:t>Boundary / excluded</w:t>
            </w:r>
          </w:p>
        </w:tc>
      </w:tr>
      <w:tr>
        <w:tc>
          <w:tcPr>
            <w:tcW w:type="dxa" w:w="4997"/>
            <w:vAlign w:val="center"/>
          </w:tcPr>
          <w:p>
            <w:pPr>
              <w:spacing w:after="20"/>
            </w:pPr>
            <w:r/>
            <w:r>
              <w:rPr>
                <w:rFonts w:ascii="Aptos" w:hAnsi="Aptos"/>
                <w:b w:val="0"/>
                <w:sz w:val="16"/>
              </w:rPr>
              <w:t>Public, permitted datasets and official reports relevant to digital services.</w:t>
            </w:r>
          </w:p>
        </w:tc>
        <w:tc>
          <w:tcPr>
            <w:tcW w:type="dxa" w:w="4997"/>
            <w:vAlign w:val="center"/>
          </w:tcPr>
          <w:p>
            <w:pPr>
              <w:spacing w:after="20"/>
            </w:pPr>
            <w:r/>
            <w:r>
              <w:rPr>
                <w:rFonts w:ascii="Aptos" w:hAnsi="Aptos"/>
                <w:b w:val="0"/>
                <w:sz w:val="16"/>
              </w:rPr>
              <w:t>Private, restricted, or personally identifiable citizen records.</w:t>
            </w:r>
          </w:p>
        </w:tc>
      </w:tr>
      <w:tr>
        <w:tc>
          <w:tcPr>
            <w:tcW w:type="dxa" w:w="4997"/>
            <w:vAlign w:val="center"/>
            <w:shd w:fill="F1F5F9"/>
          </w:tcPr>
          <w:p>
            <w:pPr>
              <w:spacing w:after="20"/>
            </w:pPr>
            <w:r/>
            <w:r>
              <w:rPr>
                <w:rFonts w:ascii="Aptos" w:hAnsi="Aptos"/>
                <w:b w:val="0"/>
                <w:sz w:val="16"/>
              </w:rPr>
              <w:t>CSV, XLSX, JSON, and documented public API responses where available.</w:t>
            </w:r>
          </w:p>
        </w:tc>
        <w:tc>
          <w:tcPr>
            <w:tcW w:type="dxa" w:w="4997"/>
            <w:vAlign w:val="center"/>
            <w:shd w:fill="F1F5F9"/>
          </w:tcPr>
          <w:p>
            <w:pPr>
              <w:spacing w:after="20"/>
            </w:pPr>
            <w:r/>
            <w:r>
              <w:rPr>
                <w:rFonts w:ascii="Aptos" w:hAnsi="Aptos"/>
                <w:b w:val="0"/>
                <w:sz w:val="16"/>
              </w:rPr>
              <w:t>Scraping sites that prohibit it or bypassing authentication or access restrictions.</w:t>
            </w:r>
          </w:p>
        </w:tc>
      </w:tr>
      <w:tr>
        <w:tc>
          <w:tcPr>
            <w:tcW w:type="dxa" w:w="4997"/>
            <w:vAlign w:val="center"/>
          </w:tcPr>
          <w:p>
            <w:pPr>
              <w:spacing w:after="20"/>
            </w:pPr>
            <w:r/>
            <w:r>
              <w:rPr>
                <w:rFonts w:ascii="Aptos" w:hAnsi="Aptos"/>
                <w:b w:val="0"/>
                <w:sz w:val="16"/>
              </w:rPr>
              <w:t>Data profiling, cleaning, standardization, validation, and documented transformation.</w:t>
            </w:r>
          </w:p>
        </w:tc>
        <w:tc>
          <w:tcPr>
            <w:tcW w:type="dxa" w:w="4997"/>
            <w:vAlign w:val="center"/>
          </w:tcPr>
          <w:p>
            <w:pPr>
              <w:spacing w:after="20"/>
            </w:pPr>
            <w:r/>
            <w:r>
              <w:rPr>
                <w:rFonts w:ascii="Aptos" w:hAnsi="Aptos"/>
                <w:b w:val="0"/>
                <w:sz w:val="16"/>
              </w:rPr>
              <w:t>Making claims about service effectiveness before analysis and validation.</w:t>
            </w:r>
          </w:p>
        </w:tc>
      </w:tr>
      <w:tr>
        <w:tc>
          <w:tcPr>
            <w:tcW w:type="dxa" w:w="4997"/>
            <w:vAlign w:val="center"/>
            <w:shd w:fill="F1F5F9"/>
          </w:tcPr>
          <w:p>
            <w:pPr>
              <w:spacing w:after="20"/>
            </w:pPr>
            <w:r/>
            <w:r>
              <w:rPr>
                <w:rFonts w:ascii="Aptos" w:hAnsi="Aptos"/>
                <w:b w:val="0"/>
                <w:sz w:val="16"/>
              </w:rPr>
              <w:t>Aggregate indicators such as transaction totals, service standards, grievance metrics, and connectivity context.</w:t>
            </w:r>
          </w:p>
        </w:tc>
        <w:tc>
          <w:tcPr>
            <w:tcW w:type="dxa" w:w="4997"/>
            <w:vAlign w:val="center"/>
            <w:shd w:fill="F1F5F9"/>
          </w:tcPr>
          <w:p>
            <w:pPr>
              <w:spacing w:after="20"/>
            </w:pPr>
            <w:r/>
            <w:r>
              <w:rPr>
                <w:rFonts w:ascii="Aptos" w:hAnsi="Aptos"/>
                <w:b w:val="0"/>
                <w:sz w:val="16"/>
              </w:rPr>
              <w:t>Combining incomparable metrics or inferring individual attributes from aggregate data.</w:t>
            </w:r>
          </w:p>
        </w:tc>
      </w:tr>
    </w:tbl>
    <w:p/>
    <w:p>
      <w:pPr>
        <w:pStyle w:val="Heading1"/>
      </w:pPr>
      <w:r>
        <w:t>2. Candidate Public Data Sources and Metadata</w:t>
      </w:r>
    </w:p>
    <w:p>
      <w:r>
        <w:t>The sources below are a shortlist for investigation, not a claim that all datasets have already been downloaded. Select datasets only after checking their exact metadata, access conditions, coverage, and relevance.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pPr>
            <w:r/>
            <w:r>
              <w:rPr>
                <w:rFonts w:ascii="Aptos" w:hAnsi="Aptos"/>
                <w:b/>
                <w:color w:val="FFFFFF"/>
                <w:sz w:val="17"/>
              </w:rPr>
              <w:t>Source</w:t>
            </w:r>
          </w:p>
        </w:tc>
        <w:tc>
          <w:tcPr>
            <w:tcW w:type="dxa" w:w="3331"/>
            <w:vAlign w:val="center"/>
            <w:shd w:fill="17365D"/>
          </w:tcPr>
          <w:p>
            <w:pPr>
              <w:spacing w:after="20"/>
            </w:pPr>
            <w:r/>
            <w:r>
              <w:rPr>
                <w:rFonts w:ascii="Aptos" w:hAnsi="Aptos"/>
                <w:b/>
                <w:color w:val="FFFFFF"/>
                <w:sz w:val="17"/>
              </w:rPr>
              <w:t>Potential data / role</w:t>
            </w:r>
          </w:p>
        </w:tc>
        <w:tc>
          <w:tcPr>
            <w:tcW w:type="dxa" w:w="3331"/>
            <w:vAlign w:val="center"/>
            <w:shd w:fill="17365D"/>
          </w:tcPr>
          <w:p>
            <w:pPr>
              <w:spacing w:after="20"/>
            </w:pPr>
            <w:r/>
            <w:r>
              <w:rPr>
                <w:rFonts w:ascii="Aptos" w:hAnsi="Aptos"/>
                <w:b/>
                <w:color w:val="FFFFFF"/>
                <w:sz w:val="17"/>
              </w:rPr>
              <w:t>Metadata to capture and cautions</w:t>
            </w:r>
          </w:p>
        </w:tc>
      </w:tr>
      <w:tr>
        <w:tc>
          <w:tcPr>
            <w:tcW w:type="dxa" w:w="3331"/>
            <w:vAlign w:val="center"/>
          </w:tcPr>
          <w:p>
            <w:pPr>
              <w:spacing w:after="20"/>
            </w:pPr>
            <w:r/>
            <w:r>
              <w:rPr>
                <w:rFonts w:ascii="Aptos" w:hAnsi="Aptos"/>
                <w:b w:val="0"/>
                <w:sz w:val="16"/>
              </w:rPr>
              <w:t>Open Government Data Platform India — https://data.gov.in/</w:t>
            </w:r>
          </w:p>
        </w:tc>
        <w:tc>
          <w:tcPr>
            <w:tcW w:type="dxa" w:w="3331"/>
            <w:vAlign w:val="center"/>
          </w:tcPr>
          <w:p>
            <w:pPr>
              <w:spacing w:after="20"/>
            </w:pPr>
            <w:r/>
            <w:r>
              <w:rPr>
                <w:rFonts w:ascii="Aptos" w:hAnsi="Aptos"/>
                <w:b w:val="0"/>
                <w:sz w:val="16"/>
              </w:rPr>
              <w:t>Government datasets, potentially including service delivery, ICT, state-level statistics, and public administration indicators.</w:t>
            </w:r>
          </w:p>
        </w:tc>
        <w:tc>
          <w:tcPr>
            <w:tcW w:type="dxa" w:w="3331"/>
            <w:vAlign w:val="center"/>
          </w:tcPr>
          <w:p>
            <w:pPr>
              <w:spacing w:after="20"/>
            </w:pPr>
            <w:r/>
            <w:r>
              <w:rPr>
                <w:rFonts w:ascii="Aptos" w:hAnsi="Aptos"/>
                <w:b w:val="0"/>
                <w:sz w:val="16"/>
              </w:rPr>
              <w:t>Dataset title/ID, department, description, date published/updated, geographic and time coverage, format, licence, API availability, field definitions. Availability varies by dataset.</w:t>
            </w:r>
          </w:p>
        </w:tc>
      </w:tr>
      <w:tr>
        <w:tc>
          <w:tcPr>
            <w:tcW w:type="dxa" w:w="3331"/>
            <w:vAlign w:val="center"/>
            <w:shd w:fill="F1F5F9"/>
          </w:tcPr>
          <w:p>
            <w:pPr>
              <w:spacing w:after="20"/>
            </w:pPr>
            <w:r/>
            <w:r>
              <w:rPr>
                <w:rFonts w:ascii="Aptos" w:hAnsi="Aptos"/>
                <w:b w:val="0"/>
                <w:sz w:val="16"/>
              </w:rPr>
              <w:t>World Bank GovTech Maturity Index — https://www.worldbank.org/en/programs/govtech/gtmi-2025-update</w:t>
            </w:r>
          </w:p>
        </w:tc>
        <w:tc>
          <w:tcPr>
            <w:tcW w:type="dxa" w:w="3331"/>
            <w:vAlign w:val="center"/>
            <w:shd w:fill="F1F5F9"/>
          </w:tcPr>
          <w:p>
            <w:pPr>
              <w:spacing w:after="20"/>
            </w:pPr>
            <w:r/>
            <w:r>
              <w:rPr>
                <w:rFonts w:ascii="Aptos" w:hAnsi="Aptos"/>
                <w:b w:val="0"/>
                <w:sz w:val="16"/>
              </w:rPr>
              <w:t>Contextual indicators on government systems, online public services, digital engagement, and enabling conditions.</w:t>
            </w:r>
          </w:p>
        </w:tc>
        <w:tc>
          <w:tcPr>
            <w:tcW w:type="dxa" w:w="3331"/>
            <w:vAlign w:val="center"/>
            <w:shd w:fill="F1F5F9"/>
          </w:tcPr>
          <w:p>
            <w:pPr>
              <w:spacing w:after="20"/>
            </w:pPr>
            <w:r/>
            <w:r>
              <w:rPr>
                <w:rFonts w:ascii="Aptos" w:hAnsi="Aptos"/>
                <w:b w:val="0"/>
                <w:sz w:val="16"/>
              </w:rPr>
              <w:t>Edition/year, indicator definitions, country coverage, methodology, data download link, and limits. This is a maturity framework, not a direct operational score for one service.</w:t>
            </w:r>
          </w:p>
        </w:tc>
      </w:tr>
      <w:tr>
        <w:tc>
          <w:tcPr>
            <w:tcW w:type="dxa" w:w="3331"/>
            <w:vAlign w:val="center"/>
          </w:tcPr>
          <w:p>
            <w:pPr>
              <w:spacing w:after="20"/>
            </w:pPr>
            <w:r/>
            <w:r>
              <w:rPr>
                <w:rFonts w:ascii="Aptos" w:hAnsi="Aptos"/>
                <w:b w:val="0"/>
                <w:sz w:val="16"/>
              </w:rPr>
              <w:t>World Bank GovTech Dataset — https://datacatalog.worldbank.org/search/dataset/0037889/govtech-dataset</w:t>
            </w:r>
          </w:p>
        </w:tc>
        <w:tc>
          <w:tcPr>
            <w:tcW w:type="dxa" w:w="3331"/>
            <w:vAlign w:val="center"/>
          </w:tcPr>
          <w:p>
            <w:pPr>
              <w:spacing w:after="20"/>
            </w:pPr>
            <w:r/>
            <w:r>
              <w:rPr>
                <w:rFonts w:ascii="Aptos" w:hAnsi="Aptos"/>
                <w:b w:val="0"/>
                <w:sz w:val="16"/>
              </w:rPr>
              <w:t>Structured indicators and metadata for comparative context.</w:t>
            </w:r>
          </w:p>
        </w:tc>
        <w:tc>
          <w:tcPr>
            <w:tcW w:type="dxa" w:w="3331"/>
            <w:vAlign w:val="center"/>
          </w:tcPr>
          <w:p>
            <w:pPr>
              <w:spacing w:after="20"/>
            </w:pPr>
            <w:r/>
            <w:r>
              <w:rPr>
                <w:rFonts w:ascii="Aptos" w:hAnsi="Aptos"/>
                <w:b w:val="0"/>
                <w:sz w:val="16"/>
              </w:rPr>
              <w:t>Dataset version, units, country codes, missing-value conventions, licence, and release date.</w:t>
            </w:r>
          </w:p>
        </w:tc>
      </w:tr>
      <w:tr>
        <w:tc>
          <w:tcPr>
            <w:tcW w:type="dxa" w:w="3331"/>
            <w:vAlign w:val="center"/>
            <w:shd w:fill="F1F5F9"/>
          </w:tcPr>
          <w:p>
            <w:pPr>
              <w:spacing w:after="20"/>
            </w:pPr>
            <w:r/>
            <w:r>
              <w:rPr>
                <w:rFonts w:ascii="Aptos" w:hAnsi="Aptos"/>
                <w:b w:val="0"/>
                <w:sz w:val="16"/>
              </w:rPr>
              <w:t>Official ministry/state/service reports</w:t>
            </w:r>
          </w:p>
        </w:tc>
        <w:tc>
          <w:tcPr>
            <w:tcW w:type="dxa" w:w="3331"/>
            <w:vAlign w:val="center"/>
            <w:shd w:fill="F1F5F9"/>
          </w:tcPr>
          <w:p>
            <w:pPr>
              <w:spacing w:after="20"/>
            </w:pPr>
            <w:r/>
            <w:r>
              <w:rPr>
                <w:rFonts w:ascii="Aptos" w:hAnsi="Aptos"/>
                <w:b w:val="0"/>
                <w:sz w:val="16"/>
              </w:rPr>
              <w:t>Service-specific transaction totals, pending applications, published service standards, processing time, or grievance metrics where reported.</w:t>
            </w:r>
          </w:p>
        </w:tc>
        <w:tc>
          <w:tcPr>
            <w:tcW w:type="dxa" w:w="3331"/>
            <w:vAlign w:val="center"/>
            <w:shd w:fill="F1F5F9"/>
          </w:tcPr>
          <w:p>
            <w:pPr>
              <w:spacing w:after="20"/>
            </w:pPr>
            <w:r/>
            <w:r>
              <w:rPr>
                <w:rFonts w:ascii="Aptos" w:hAnsi="Aptos"/>
                <w:b w:val="0"/>
                <w:sz w:val="16"/>
              </w:rPr>
              <w:t>Reporting authority, period, unit, denominator, scope, definition of 'resolved' or 'completed', revisions, and PDF/table extraction notes.</w:t>
            </w:r>
          </w:p>
        </w:tc>
      </w:tr>
      <w:tr>
        <w:tc>
          <w:tcPr>
            <w:tcW w:type="dxa" w:w="3331"/>
            <w:vAlign w:val="center"/>
          </w:tcPr>
          <w:p>
            <w:pPr>
              <w:spacing w:after="20"/>
            </w:pPr>
            <w:r/>
            <w:r>
              <w:rPr>
                <w:rFonts w:ascii="Aptos" w:hAnsi="Aptos"/>
                <w:b w:val="0"/>
                <w:sz w:val="16"/>
              </w:rPr>
              <w:t>Official connectivity/demographic sources</w:t>
            </w:r>
          </w:p>
        </w:tc>
        <w:tc>
          <w:tcPr>
            <w:tcW w:type="dxa" w:w="3331"/>
            <w:vAlign w:val="center"/>
          </w:tcPr>
          <w:p>
            <w:pPr>
              <w:spacing w:after="20"/>
            </w:pPr>
            <w:r/>
            <w:r>
              <w:rPr>
                <w:rFonts w:ascii="Aptos" w:hAnsi="Aptos"/>
                <w:b w:val="0"/>
                <w:sz w:val="16"/>
              </w:rPr>
              <w:t>Aggregate context such as internet access, rural/urban coverage, population, or literacy.</w:t>
            </w:r>
          </w:p>
        </w:tc>
        <w:tc>
          <w:tcPr>
            <w:tcW w:type="dxa" w:w="3331"/>
            <w:vAlign w:val="center"/>
          </w:tcPr>
          <w:p>
            <w:pPr>
              <w:spacing w:after="20"/>
            </w:pPr>
            <w:r/>
            <w:r>
              <w:rPr>
                <w:rFonts w:ascii="Aptos" w:hAnsi="Aptos"/>
                <w:b w:val="0"/>
                <w:sz w:val="16"/>
              </w:rPr>
              <w:t>Reference period, population base, geography code, estimation method, and comparability with service data.</w:t>
            </w:r>
          </w:p>
        </w:tc>
      </w:tr>
    </w:tbl>
    <w:p/>
    <w:p>
      <w:pPr>
        <w:pStyle w:val="Heading2"/>
      </w:pPr>
      <w:r>
        <w:t>2.1 Dataset selection scorecard</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pPr>
            <w:r/>
            <w:r>
              <w:rPr>
                <w:rFonts w:ascii="Aptos" w:hAnsi="Aptos"/>
                <w:b/>
                <w:color w:val="FFFFFF"/>
                <w:sz w:val="17"/>
              </w:rPr>
              <w:t>Criterion</w:t>
            </w:r>
          </w:p>
        </w:tc>
        <w:tc>
          <w:tcPr>
            <w:tcW w:type="dxa" w:w="3331"/>
            <w:vAlign w:val="center"/>
            <w:shd w:fill="17365D"/>
          </w:tcPr>
          <w:p>
            <w:pPr>
              <w:spacing w:after="20"/>
            </w:pPr>
            <w:r/>
            <w:r>
              <w:rPr>
                <w:rFonts w:ascii="Aptos" w:hAnsi="Aptos"/>
                <w:b/>
                <w:color w:val="FFFFFF"/>
                <w:sz w:val="17"/>
              </w:rPr>
              <w:t>Assessment question</w:t>
            </w:r>
          </w:p>
        </w:tc>
        <w:tc>
          <w:tcPr>
            <w:tcW w:type="dxa" w:w="3331"/>
            <w:vAlign w:val="center"/>
            <w:shd w:fill="17365D"/>
          </w:tcPr>
          <w:p>
            <w:pPr>
              <w:spacing w:after="20"/>
            </w:pPr>
            <w:r/>
            <w:r>
              <w:rPr>
                <w:rFonts w:ascii="Aptos" w:hAnsi="Aptos"/>
                <w:b/>
                <w:color w:val="FFFFFF"/>
                <w:sz w:val="17"/>
              </w:rPr>
              <w:t>Decision rule</w:t>
            </w:r>
          </w:p>
        </w:tc>
      </w:tr>
      <w:tr>
        <w:tc>
          <w:tcPr>
            <w:tcW w:type="dxa" w:w="3331"/>
            <w:vAlign w:val="center"/>
          </w:tcPr>
          <w:p>
            <w:pPr>
              <w:spacing w:after="20"/>
            </w:pPr>
            <w:r/>
            <w:r>
              <w:rPr>
                <w:rFonts w:ascii="Aptos" w:hAnsi="Aptos"/>
                <w:b w:val="0"/>
                <w:sz w:val="16"/>
              </w:rPr>
              <w:t>Authority</w:t>
            </w:r>
          </w:p>
        </w:tc>
        <w:tc>
          <w:tcPr>
            <w:tcW w:type="dxa" w:w="3331"/>
            <w:vAlign w:val="center"/>
          </w:tcPr>
          <w:p>
            <w:pPr>
              <w:spacing w:after="20"/>
            </w:pPr>
            <w:r/>
            <w:r>
              <w:rPr>
                <w:rFonts w:ascii="Aptos" w:hAnsi="Aptos"/>
                <w:b w:val="0"/>
                <w:sz w:val="16"/>
              </w:rPr>
              <w:t>Is the publisher identifiable and authoritative?</w:t>
            </w:r>
          </w:p>
        </w:tc>
        <w:tc>
          <w:tcPr>
            <w:tcW w:type="dxa" w:w="3331"/>
            <w:vAlign w:val="center"/>
          </w:tcPr>
          <w:p>
            <w:pPr>
              <w:spacing w:after="20"/>
            </w:pPr>
            <w:r/>
            <w:r>
              <w:rPr>
                <w:rFonts w:ascii="Aptos" w:hAnsi="Aptos"/>
                <w:b w:val="0"/>
                <w:sz w:val="16"/>
              </w:rPr>
              <w:t>Prefer official government or recognized multilateral sources.</w:t>
            </w:r>
          </w:p>
        </w:tc>
      </w:tr>
      <w:tr>
        <w:tc>
          <w:tcPr>
            <w:tcW w:type="dxa" w:w="3331"/>
            <w:vAlign w:val="center"/>
            <w:shd w:fill="F1F5F9"/>
          </w:tcPr>
          <w:p>
            <w:pPr>
              <w:spacing w:after="20"/>
            </w:pPr>
            <w:r/>
            <w:r>
              <w:rPr>
                <w:rFonts w:ascii="Aptos" w:hAnsi="Aptos"/>
                <w:b w:val="0"/>
                <w:sz w:val="16"/>
              </w:rPr>
              <w:t>Relevance</w:t>
            </w:r>
          </w:p>
        </w:tc>
        <w:tc>
          <w:tcPr>
            <w:tcW w:type="dxa" w:w="3331"/>
            <w:vAlign w:val="center"/>
            <w:shd w:fill="F1F5F9"/>
          </w:tcPr>
          <w:p>
            <w:pPr>
              <w:spacing w:after="20"/>
            </w:pPr>
            <w:r/>
            <w:r>
              <w:rPr>
                <w:rFonts w:ascii="Aptos" w:hAnsi="Aptos"/>
                <w:b w:val="0"/>
                <w:sz w:val="16"/>
              </w:rPr>
              <w:t>Does the dataset map to a research question and indicator?</w:t>
            </w:r>
          </w:p>
        </w:tc>
        <w:tc>
          <w:tcPr>
            <w:tcW w:type="dxa" w:w="3331"/>
            <w:vAlign w:val="center"/>
            <w:shd w:fill="F1F5F9"/>
          </w:tcPr>
          <w:p>
            <w:pPr>
              <w:spacing w:after="20"/>
            </w:pPr>
            <w:r/>
            <w:r>
              <w:rPr>
                <w:rFonts w:ascii="Aptos" w:hAnsi="Aptos"/>
                <w:b w:val="0"/>
                <w:sz w:val="16"/>
              </w:rPr>
              <w:t>Reject unrelated data even if easy to download.</w:t>
            </w:r>
          </w:p>
        </w:tc>
      </w:tr>
      <w:tr>
        <w:tc>
          <w:tcPr>
            <w:tcW w:type="dxa" w:w="3331"/>
            <w:vAlign w:val="center"/>
          </w:tcPr>
          <w:p>
            <w:pPr>
              <w:spacing w:after="20"/>
            </w:pPr>
            <w:r/>
            <w:r>
              <w:rPr>
                <w:rFonts w:ascii="Aptos" w:hAnsi="Aptos"/>
                <w:b w:val="0"/>
                <w:sz w:val="16"/>
              </w:rPr>
              <w:t>Metadata</w:t>
            </w:r>
          </w:p>
        </w:tc>
        <w:tc>
          <w:tcPr>
            <w:tcW w:type="dxa" w:w="3331"/>
            <w:vAlign w:val="center"/>
          </w:tcPr>
          <w:p>
            <w:pPr>
              <w:spacing w:after="20"/>
            </w:pPr>
            <w:r/>
            <w:r>
              <w:rPr>
                <w:rFonts w:ascii="Aptos" w:hAnsi="Aptos"/>
                <w:b w:val="0"/>
                <w:sz w:val="16"/>
              </w:rPr>
              <w:t>Are units, definitions, dates, and coverage described?</w:t>
            </w:r>
          </w:p>
        </w:tc>
        <w:tc>
          <w:tcPr>
            <w:tcW w:type="dxa" w:w="3331"/>
            <w:vAlign w:val="center"/>
          </w:tcPr>
          <w:p>
            <w:pPr>
              <w:spacing w:after="20"/>
            </w:pPr>
            <w:r/>
            <w:r>
              <w:rPr>
                <w:rFonts w:ascii="Aptos" w:hAnsi="Aptos"/>
                <w:b w:val="0"/>
                <w:sz w:val="16"/>
              </w:rPr>
              <w:t>If unclear, seek documentation or exclude from comparisons.</w:t>
            </w:r>
          </w:p>
        </w:tc>
      </w:tr>
      <w:tr>
        <w:tc>
          <w:tcPr>
            <w:tcW w:type="dxa" w:w="3331"/>
            <w:vAlign w:val="center"/>
            <w:shd w:fill="F1F5F9"/>
          </w:tcPr>
          <w:p>
            <w:pPr>
              <w:spacing w:after="20"/>
            </w:pPr>
            <w:r/>
            <w:r>
              <w:rPr>
                <w:rFonts w:ascii="Aptos" w:hAnsi="Aptos"/>
                <w:b w:val="0"/>
                <w:sz w:val="16"/>
              </w:rPr>
              <w:t>Completeness</w:t>
            </w:r>
          </w:p>
        </w:tc>
        <w:tc>
          <w:tcPr>
            <w:tcW w:type="dxa" w:w="3331"/>
            <w:vAlign w:val="center"/>
            <w:shd w:fill="F1F5F9"/>
          </w:tcPr>
          <w:p>
            <w:pPr>
              <w:spacing w:after="20"/>
            </w:pPr>
            <w:r/>
            <w:r>
              <w:rPr>
                <w:rFonts w:ascii="Aptos" w:hAnsi="Aptos"/>
                <w:b w:val="0"/>
                <w:sz w:val="16"/>
              </w:rPr>
              <w:t>Are important fields and periods available?</w:t>
            </w:r>
          </w:p>
        </w:tc>
        <w:tc>
          <w:tcPr>
            <w:tcW w:type="dxa" w:w="3331"/>
            <w:vAlign w:val="center"/>
            <w:shd w:fill="F1F5F9"/>
          </w:tcPr>
          <w:p>
            <w:pPr>
              <w:spacing w:after="20"/>
            </w:pPr>
            <w:r/>
            <w:r>
              <w:rPr>
                <w:rFonts w:ascii="Aptos" w:hAnsi="Aptos"/>
                <w:b w:val="0"/>
                <w:sz w:val="16"/>
              </w:rPr>
              <w:t>Document gaps; narrow the analysis if needed.</w:t>
            </w:r>
          </w:p>
        </w:tc>
      </w:tr>
      <w:tr>
        <w:tc>
          <w:tcPr>
            <w:tcW w:type="dxa" w:w="3331"/>
            <w:vAlign w:val="center"/>
          </w:tcPr>
          <w:p>
            <w:pPr>
              <w:spacing w:after="20"/>
            </w:pPr>
            <w:r/>
            <w:r>
              <w:rPr>
                <w:rFonts w:ascii="Aptos" w:hAnsi="Aptos"/>
                <w:b w:val="0"/>
                <w:sz w:val="16"/>
              </w:rPr>
              <w:t>Comparability</w:t>
            </w:r>
          </w:p>
        </w:tc>
        <w:tc>
          <w:tcPr>
            <w:tcW w:type="dxa" w:w="3331"/>
            <w:vAlign w:val="center"/>
          </w:tcPr>
          <w:p>
            <w:pPr>
              <w:spacing w:after="20"/>
            </w:pPr>
            <w:r/>
            <w:r>
              <w:rPr>
                <w:rFonts w:ascii="Aptos" w:hAnsi="Aptos"/>
                <w:b w:val="0"/>
                <w:sz w:val="16"/>
              </w:rPr>
              <w:t>Are categories and definitions stable across groups/years?</w:t>
            </w:r>
          </w:p>
        </w:tc>
        <w:tc>
          <w:tcPr>
            <w:tcW w:type="dxa" w:w="3331"/>
            <w:vAlign w:val="center"/>
          </w:tcPr>
          <w:p>
            <w:pPr>
              <w:spacing w:after="20"/>
            </w:pPr>
            <w:r/>
            <w:r>
              <w:rPr>
                <w:rFonts w:ascii="Aptos" w:hAnsi="Aptos"/>
                <w:b w:val="0"/>
                <w:sz w:val="16"/>
              </w:rPr>
              <w:t>Compare only compatible values or explain harmonization.</w:t>
            </w:r>
          </w:p>
        </w:tc>
      </w:tr>
      <w:tr>
        <w:tc>
          <w:tcPr>
            <w:tcW w:type="dxa" w:w="3331"/>
            <w:vAlign w:val="center"/>
            <w:shd w:fill="F1F5F9"/>
          </w:tcPr>
          <w:p>
            <w:pPr>
              <w:spacing w:after="20"/>
            </w:pPr>
            <w:r/>
            <w:r>
              <w:rPr>
                <w:rFonts w:ascii="Aptos" w:hAnsi="Aptos"/>
                <w:b w:val="0"/>
                <w:sz w:val="16"/>
              </w:rPr>
              <w:t>Access and reuse</w:t>
            </w:r>
          </w:p>
        </w:tc>
        <w:tc>
          <w:tcPr>
            <w:tcW w:type="dxa" w:w="3331"/>
            <w:vAlign w:val="center"/>
            <w:shd w:fill="F1F5F9"/>
          </w:tcPr>
          <w:p>
            <w:pPr>
              <w:spacing w:after="20"/>
            </w:pPr>
            <w:r/>
            <w:r>
              <w:rPr>
                <w:rFonts w:ascii="Aptos" w:hAnsi="Aptos"/>
                <w:b w:val="0"/>
                <w:sz w:val="16"/>
              </w:rPr>
              <w:t>Can the data be accessed and reused under stated terms?</w:t>
            </w:r>
          </w:p>
        </w:tc>
        <w:tc>
          <w:tcPr>
            <w:tcW w:type="dxa" w:w="3331"/>
            <w:vAlign w:val="center"/>
            <w:shd w:fill="F1F5F9"/>
          </w:tcPr>
          <w:p>
            <w:pPr>
              <w:spacing w:after="20"/>
            </w:pPr>
            <w:r/>
            <w:r>
              <w:rPr>
                <w:rFonts w:ascii="Aptos" w:hAnsi="Aptos"/>
                <w:b w:val="0"/>
                <w:sz w:val="16"/>
              </w:rPr>
              <w:t>Respect licence, attribution, API limits, and site policies.</w:t>
            </w:r>
          </w:p>
        </w:tc>
      </w:tr>
      <w:tr>
        <w:tc>
          <w:tcPr>
            <w:tcW w:type="dxa" w:w="3331"/>
            <w:vAlign w:val="center"/>
          </w:tcPr>
          <w:p>
            <w:pPr>
              <w:spacing w:after="20"/>
            </w:pPr>
            <w:r/>
            <w:r>
              <w:rPr>
                <w:rFonts w:ascii="Aptos" w:hAnsi="Aptos"/>
                <w:b w:val="0"/>
                <w:sz w:val="16"/>
              </w:rPr>
              <w:t>Reproducibility</w:t>
            </w:r>
          </w:p>
        </w:tc>
        <w:tc>
          <w:tcPr>
            <w:tcW w:type="dxa" w:w="3331"/>
            <w:vAlign w:val="center"/>
          </w:tcPr>
          <w:p>
            <w:pPr>
              <w:spacing w:after="20"/>
            </w:pPr>
            <w:r/>
            <w:r>
              <w:rPr>
                <w:rFonts w:ascii="Aptos" w:hAnsi="Aptos"/>
                <w:b w:val="0"/>
                <w:sz w:val="16"/>
              </w:rPr>
              <w:t>Can another person retrieve or identify the same release?</w:t>
            </w:r>
          </w:p>
        </w:tc>
        <w:tc>
          <w:tcPr>
            <w:tcW w:type="dxa" w:w="3331"/>
            <w:vAlign w:val="center"/>
          </w:tcPr>
          <w:p>
            <w:pPr>
              <w:spacing w:after="20"/>
            </w:pPr>
            <w:r/>
            <w:r>
              <w:rPr>
                <w:rFonts w:ascii="Aptos" w:hAnsi="Aptos"/>
                <w:b w:val="0"/>
                <w:sz w:val="16"/>
              </w:rPr>
              <w:t>Save URL, access date, dataset version, and raw copy when permitted.</w:t>
            </w:r>
          </w:p>
        </w:tc>
      </w:tr>
    </w:tbl>
    <w:p/>
    <w:p>
      <w:pPr>
        <w:pStyle w:val="Heading1"/>
      </w:pPr>
      <w:r>
        <w:t>3. Source Metadata and Data Inventory</w:t>
      </w:r>
    </w:p>
    <w:p>
      <w:r>
        <w:t>Create a source inventory before cleaning. Store one row per dataset or file; use a stable dataset_id so metadata can be joined to processing logs.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pPr>
              <w:spacing w:after="20"/>
            </w:pPr>
            <w:r/>
            <w:r>
              <w:rPr>
                <w:rFonts w:ascii="Aptos" w:hAnsi="Aptos"/>
                <w:b/>
                <w:color w:val="FFFFFF"/>
                <w:sz w:val="17"/>
              </w:rPr>
              <w:t>Metadata field</w:t>
            </w:r>
          </w:p>
        </w:tc>
        <w:tc>
          <w:tcPr>
            <w:tcW w:type="dxa" w:w="4997"/>
            <w:vAlign w:val="center"/>
            <w:shd w:fill="17365D"/>
          </w:tcPr>
          <w:p>
            <w:pPr>
              <w:spacing w:after="20"/>
            </w:pPr>
            <w:r/>
            <w:r>
              <w:rPr>
                <w:rFonts w:ascii="Aptos" w:hAnsi="Aptos"/>
                <w:b/>
                <w:color w:val="FFFFFF"/>
                <w:sz w:val="17"/>
              </w:rPr>
              <w:t>Required description</w:t>
            </w:r>
          </w:p>
        </w:tc>
      </w:tr>
      <w:tr>
        <w:tc>
          <w:tcPr>
            <w:tcW w:type="dxa" w:w="4997"/>
            <w:vAlign w:val="center"/>
          </w:tcPr>
          <w:p>
            <w:pPr>
              <w:spacing w:after="20"/>
            </w:pPr>
            <w:r/>
            <w:r>
              <w:rPr>
                <w:rFonts w:ascii="Aptos" w:hAnsi="Aptos"/>
                <w:b w:val="0"/>
                <w:sz w:val="16"/>
              </w:rPr>
              <w:t>dataset_id</w:t>
            </w:r>
          </w:p>
        </w:tc>
        <w:tc>
          <w:tcPr>
            <w:tcW w:type="dxa" w:w="4997"/>
            <w:vAlign w:val="center"/>
          </w:tcPr>
          <w:p>
            <w:pPr>
              <w:spacing w:after="20"/>
            </w:pPr>
            <w:r/>
            <w:r>
              <w:rPr>
                <w:rFonts w:ascii="Aptos" w:hAnsi="Aptos"/>
                <w:b w:val="0"/>
                <w:sz w:val="16"/>
              </w:rPr>
              <w:t>Short unique identifier such as india_ogd_service_01.</w:t>
            </w:r>
          </w:p>
        </w:tc>
      </w:tr>
      <w:tr>
        <w:tc>
          <w:tcPr>
            <w:tcW w:type="dxa" w:w="4997"/>
            <w:vAlign w:val="center"/>
            <w:shd w:fill="F1F5F9"/>
          </w:tcPr>
          <w:p>
            <w:pPr>
              <w:spacing w:after="20"/>
            </w:pPr>
            <w:r/>
            <w:r>
              <w:rPr>
                <w:rFonts w:ascii="Aptos" w:hAnsi="Aptos"/>
                <w:b w:val="0"/>
                <w:sz w:val="16"/>
              </w:rPr>
              <w:t>dataset_title / publisher</w:t>
            </w:r>
          </w:p>
        </w:tc>
        <w:tc>
          <w:tcPr>
            <w:tcW w:type="dxa" w:w="4997"/>
            <w:vAlign w:val="center"/>
            <w:shd w:fill="F1F5F9"/>
          </w:tcPr>
          <w:p>
            <w:pPr>
              <w:spacing w:after="20"/>
            </w:pPr>
            <w:r/>
            <w:r>
              <w:rPr>
                <w:rFonts w:ascii="Aptos" w:hAnsi="Aptos"/>
                <w:b w:val="0"/>
                <w:sz w:val="16"/>
              </w:rPr>
              <w:t>Exact title and responsible organization.</w:t>
            </w:r>
          </w:p>
        </w:tc>
      </w:tr>
      <w:tr>
        <w:tc>
          <w:tcPr>
            <w:tcW w:type="dxa" w:w="4997"/>
            <w:vAlign w:val="center"/>
          </w:tcPr>
          <w:p>
            <w:pPr>
              <w:spacing w:after="20"/>
            </w:pPr>
            <w:r/>
            <w:r>
              <w:rPr>
                <w:rFonts w:ascii="Aptos" w:hAnsi="Aptos"/>
                <w:b w:val="0"/>
                <w:sz w:val="16"/>
              </w:rPr>
              <w:t>source_url / access_date</w:t>
            </w:r>
          </w:p>
        </w:tc>
        <w:tc>
          <w:tcPr>
            <w:tcW w:type="dxa" w:w="4997"/>
            <w:vAlign w:val="center"/>
          </w:tcPr>
          <w:p>
            <w:pPr>
              <w:spacing w:after="20"/>
            </w:pPr>
            <w:r/>
            <w:r>
              <w:rPr>
                <w:rFonts w:ascii="Aptos" w:hAnsi="Aptos"/>
                <w:b w:val="0"/>
                <w:sz w:val="16"/>
              </w:rPr>
              <w:t>Direct dataset or API URL and date accessed.</w:t>
            </w:r>
          </w:p>
        </w:tc>
      </w:tr>
      <w:tr>
        <w:tc>
          <w:tcPr>
            <w:tcW w:type="dxa" w:w="4997"/>
            <w:vAlign w:val="center"/>
            <w:shd w:fill="F1F5F9"/>
          </w:tcPr>
          <w:p>
            <w:pPr>
              <w:spacing w:after="20"/>
            </w:pPr>
            <w:r/>
            <w:r>
              <w:rPr>
                <w:rFonts w:ascii="Aptos" w:hAnsi="Aptos"/>
                <w:b w:val="0"/>
                <w:sz w:val="16"/>
              </w:rPr>
              <w:t>release_date / update_frequency</w:t>
            </w:r>
          </w:p>
        </w:tc>
        <w:tc>
          <w:tcPr>
            <w:tcW w:type="dxa" w:w="4997"/>
            <w:vAlign w:val="center"/>
            <w:shd w:fill="F1F5F9"/>
          </w:tcPr>
          <w:p>
            <w:pPr>
              <w:spacing w:after="20"/>
            </w:pPr>
            <w:r/>
            <w:r>
              <w:rPr>
                <w:rFonts w:ascii="Aptos" w:hAnsi="Aptos"/>
                <w:b w:val="0"/>
                <w:sz w:val="16"/>
              </w:rPr>
              <w:t>Publication/update dates and stated refresh frequency.</w:t>
            </w:r>
          </w:p>
        </w:tc>
      </w:tr>
      <w:tr>
        <w:tc>
          <w:tcPr>
            <w:tcW w:type="dxa" w:w="4997"/>
            <w:vAlign w:val="center"/>
          </w:tcPr>
          <w:p>
            <w:pPr>
              <w:spacing w:after="20"/>
            </w:pPr>
            <w:r/>
            <w:r>
              <w:rPr>
                <w:rFonts w:ascii="Aptos" w:hAnsi="Aptos"/>
                <w:b w:val="0"/>
                <w:sz w:val="16"/>
              </w:rPr>
              <w:t>format / size</w:t>
            </w:r>
          </w:p>
        </w:tc>
        <w:tc>
          <w:tcPr>
            <w:tcW w:type="dxa" w:w="4997"/>
            <w:vAlign w:val="center"/>
          </w:tcPr>
          <w:p>
            <w:pPr>
              <w:spacing w:after="20"/>
            </w:pPr>
            <w:r/>
            <w:r>
              <w:rPr>
                <w:rFonts w:ascii="Aptos" w:hAnsi="Aptos"/>
                <w:b w:val="0"/>
                <w:sz w:val="16"/>
              </w:rPr>
              <w:t>CSV, XLSX, JSON, PDF, API response, file size, and encoding if known.</w:t>
            </w:r>
          </w:p>
        </w:tc>
      </w:tr>
      <w:tr>
        <w:tc>
          <w:tcPr>
            <w:tcW w:type="dxa" w:w="4997"/>
            <w:vAlign w:val="center"/>
            <w:shd w:fill="F1F5F9"/>
          </w:tcPr>
          <w:p>
            <w:pPr>
              <w:spacing w:after="20"/>
            </w:pPr>
            <w:r/>
            <w:r>
              <w:rPr>
                <w:rFonts w:ascii="Aptos" w:hAnsi="Aptos"/>
                <w:b w:val="0"/>
                <w:sz w:val="16"/>
              </w:rPr>
              <w:t>coverage</w:t>
            </w:r>
          </w:p>
        </w:tc>
        <w:tc>
          <w:tcPr>
            <w:tcW w:type="dxa" w:w="4997"/>
            <w:vAlign w:val="center"/>
            <w:shd w:fill="F1F5F9"/>
          </w:tcPr>
          <w:p>
            <w:pPr>
              <w:spacing w:after="20"/>
            </w:pPr>
            <w:r/>
            <w:r>
              <w:rPr>
                <w:rFonts w:ascii="Aptos" w:hAnsi="Aptos"/>
                <w:b w:val="0"/>
                <w:sz w:val="16"/>
              </w:rPr>
              <w:t>Geographic scope, reporting period, and population/service covered.</w:t>
            </w:r>
          </w:p>
        </w:tc>
      </w:tr>
      <w:tr>
        <w:tc>
          <w:tcPr>
            <w:tcW w:type="dxa" w:w="4997"/>
            <w:vAlign w:val="center"/>
          </w:tcPr>
          <w:p>
            <w:pPr>
              <w:spacing w:after="20"/>
            </w:pPr>
            <w:r/>
            <w:r>
              <w:rPr>
                <w:rFonts w:ascii="Aptos" w:hAnsi="Aptos"/>
                <w:b w:val="0"/>
                <w:sz w:val="16"/>
              </w:rPr>
              <w:t>schema / units</w:t>
            </w:r>
          </w:p>
        </w:tc>
        <w:tc>
          <w:tcPr>
            <w:tcW w:type="dxa" w:w="4997"/>
            <w:vAlign w:val="center"/>
          </w:tcPr>
          <w:p>
            <w:pPr>
              <w:spacing w:after="20"/>
            </w:pPr>
            <w:r/>
            <w:r>
              <w:rPr>
                <w:rFonts w:ascii="Aptos" w:hAnsi="Aptos"/>
                <w:b w:val="0"/>
                <w:sz w:val="16"/>
              </w:rPr>
              <w:t>Column names, definitions, units, allowed values, and denominators.</w:t>
            </w:r>
          </w:p>
        </w:tc>
      </w:tr>
      <w:tr>
        <w:tc>
          <w:tcPr>
            <w:tcW w:type="dxa" w:w="4997"/>
            <w:vAlign w:val="center"/>
            <w:shd w:fill="F1F5F9"/>
          </w:tcPr>
          <w:p>
            <w:pPr>
              <w:spacing w:after="20"/>
            </w:pPr>
            <w:r/>
            <w:r>
              <w:rPr>
                <w:rFonts w:ascii="Aptos" w:hAnsi="Aptos"/>
                <w:b w:val="0"/>
                <w:sz w:val="16"/>
              </w:rPr>
              <w:t>licence / terms</w:t>
            </w:r>
          </w:p>
        </w:tc>
        <w:tc>
          <w:tcPr>
            <w:tcW w:type="dxa" w:w="4997"/>
            <w:vAlign w:val="center"/>
            <w:shd w:fill="F1F5F9"/>
          </w:tcPr>
          <w:p>
            <w:pPr>
              <w:spacing w:after="20"/>
            </w:pPr>
            <w:r/>
            <w:r>
              <w:rPr>
                <w:rFonts w:ascii="Aptos" w:hAnsi="Aptos"/>
                <w:b w:val="0"/>
                <w:sz w:val="16"/>
              </w:rPr>
              <w:t>Reuse conditions, attribution, API restrictions, and redistribution rules.</w:t>
            </w:r>
          </w:p>
        </w:tc>
      </w:tr>
      <w:tr>
        <w:tc>
          <w:tcPr>
            <w:tcW w:type="dxa" w:w="4997"/>
            <w:vAlign w:val="center"/>
          </w:tcPr>
          <w:p>
            <w:pPr>
              <w:spacing w:after="20"/>
            </w:pPr>
            <w:r/>
            <w:r>
              <w:rPr>
                <w:rFonts w:ascii="Aptos" w:hAnsi="Aptos"/>
                <w:b w:val="0"/>
                <w:sz w:val="16"/>
              </w:rPr>
              <w:t>quality_notes</w:t>
            </w:r>
          </w:p>
        </w:tc>
        <w:tc>
          <w:tcPr>
            <w:tcW w:type="dxa" w:w="4997"/>
            <w:vAlign w:val="center"/>
          </w:tcPr>
          <w:p>
            <w:pPr>
              <w:spacing w:after="20"/>
            </w:pPr>
            <w:r/>
            <w:r>
              <w:rPr>
                <w:rFonts w:ascii="Aptos" w:hAnsi="Aptos"/>
                <w:b w:val="0"/>
                <w:sz w:val="16"/>
              </w:rPr>
              <w:t>Missingness, revisions, known caveats, and suitability decision.</w:t>
            </w:r>
          </w:p>
        </w:tc>
      </w:tr>
      <w:tr>
        <w:tc>
          <w:tcPr>
            <w:tcW w:type="dxa" w:w="4997"/>
            <w:vAlign w:val="center"/>
            <w:shd w:fill="F1F5F9"/>
          </w:tcPr>
          <w:p>
            <w:pPr>
              <w:spacing w:after="20"/>
            </w:pPr>
            <w:r/>
            <w:r>
              <w:rPr>
                <w:rFonts w:ascii="Aptos" w:hAnsi="Aptos"/>
                <w:b w:val="0"/>
                <w:sz w:val="16"/>
              </w:rPr>
              <w:t>local_path / checksum</w:t>
            </w:r>
          </w:p>
        </w:tc>
        <w:tc>
          <w:tcPr>
            <w:tcW w:type="dxa" w:w="4997"/>
            <w:vAlign w:val="center"/>
            <w:shd w:fill="F1F5F9"/>
          </w:tcPr>
          <w:p>
            <w:pPr>
              <w:spacing w:after="20"/>
            </w:pPr>
            <w:r/>
            <w:r>
              <w:rPr>
                <w:rFonts w:ascii="Aptos" w:hAnsi="Aptos"/>
                <w:b w:val="0"/>
                <w:sz w:val="16"/>
              </w:rPr>
              <w:t>Stored raw file path and optional SHA-256 hash for file integrity.</w:t>
            </w:r>
          </w:p>
        </w:tc>
      </w:tr>
    </w:tbl>
    <w:p/>
    <w:p>
      <w:pPr>
        <w:pStyle w:val="Heading1"/>
      </w:pPr>
      <w:r>
        <w:t>4. Data Collection Strategy</w:t>
      </w:r>
    </w:p>
    <w:p>
      <w:pPr>
        <w:pStyle w:val="Heading2"/>
      </w:pPr>
      <w:r>
        <w:t>4.1 Acquisition methods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pPr>
            <w:r/>
            <w:r>
              <w:rPr>
                <w:rFonts w:ascii="Aptos" w:hAnsi="Aptos"/>
                <w:b/>
                <w:color w:val="FFFFFF"/>
                <w:sz w:val="17"/>
              </w:rPr>
              <w:t>Method</w:t>
            </w:r>
          </w:p>
        </w:tc>
        <w:tc>
          <w:tcPr>
            <w:tcW w:type="dxa" w:w="3331"/>
            <w:vAlign w:val="center"/>
            <w:shd w:fill="17365D"/>
          </w:tcPr>
          <w:p>
            <w:pPr>
              <w:spacing w:after="20"/>
            </w:pPr>
            <w:r/>
            <w:r>
              <w:rPr>
                <w:rFonts w:ascii="Aptos" w:hAnsi="Aptos"/>
                <w:b/>
                <w:color w:val="FFFFFF"/>
                <w:sz w:val="17"/>
              </w:rPr>
              <w:t>When to use</w:t>
            </w:r>
          </w:p>
        </w:tc>
        <w:tc>
          <w:tcPr>
            <w:tcW w:type="dxa" w:w="3331"/>
            <w:vAlign w:val="center"/>
            <w:shd w:fill="17365D"/>
          </w:tcPr>
          <w:p>
            <w:pPr>
              <w:spacing w:after="20"/>
            </w:pPr>
            <w:r/>
            <w:r>
              <w:rPr>
                <w:rFonts w:ascii="Aptos" w:hAnsi="Aptos"/>
                <w:b/>
                <w:color w:val="FFFFFF"/>
                <w:sz w:val="17"/>
              </w:rPr>
              <w:t>Procedure and controls</w:t>
            </w:r>
          </w:p>
        </w:tc>
      </w:tr>
      <w:tr>
        <w:tc>
          <w:tcPr>
            <w:tcW w:type="dxa" w:w="3331"/>
            <w:vAlign w:val="center"/>
          </w:tcPr>
          <w:p>
            <w:pPr>
              <w:spacing w:after="20"/>
            </w:pPr>
            <w:r/>
            <w:r>
              <w:rPr>
                <w:rFonts w:ascii="Aptos" w:hAnsi="Aptos"/>
                <w:b w:val="0"/>
                <w:sz w:val="16"/>
              </w:rPr>
              <w:t>Manual download</w:t>
            </w:r>
          </w:p>
        </w:tc>
        <w:tc>
          <w:tcPr>
            <w:tcW w:type="dxa" w:w="3331"/>
            <w:vAlign w:val="center"/>
          </w:tcPr>
          <w:p>
            <w:pPr>
              <w:spacing w:after="20"/>
            </w:pPr>
            <w:r/>
            <w:r>
              <w:rPr>
                <w:rFonts w:ascii="Aptos" w:hAnsi="Aptos"/>
                <w:b w:val="0"/>
                <w:sz w:val="16"/>
              </w:rPr>
              <w:t>A portal provides a direct CSV/XLSX/ZIP download and no suitable API is needed.</w:t>
            </w:r>
          </w:p>
        </w:tc>
        <w:tc>
          <w:tcPr>
            <w:tcW w:type="dxa" w:w="3331"/>
            <w:vAlign w:val="center"/>
          </w:tcPr>
          <w:p>
            <w:pPr>
              <w:spacing w:after="20"/>
            </w:pPr>
            <w:r/>
            <w:r>
              <w:rPr>
                <w:rFonts w:ascii="Aptos" w:hAnsi="Aptos"/>
                <w:b w:val="0"/>
                <w:sz w:val="16"/>
              </w:rPr>
              <w:t>Open dataset page, inspect metadata/licence, download original file, record access date and URL, do not edit raw copy.</w:t>
            </w:r>
          </w:p>
        </w:tc>
      </w:tr>
      <w:tr>
        <w:tc>
          <w:tcPr>
            <w:tcW w:type="dxa" w:w="3331"/>
            <w:vAlign w:val="center"/>
            <w:shd w:fill="F1F5F9"/>
          </w:tcPr>
          <w:p>
            <w:pPr>
              <w:spacing w:after="20"/>
            </w:pPr>
            <w:r/>
            <w:r>
              <w:rPr>
                <w:rFonts w:ascii="Aptos" w:hAnsi="Aptos"/>
                <w:b w:val="0"/>
                <w:sz w:val="16"/>
              </w:rPr>
              <w:t>Documented API</w:t>
            </w:r>
          </w:p>
        </w:tc>
        <w:tc>
          <w:tcPr>
            <w:tcW w:type="dxa" w:w="3331"/>
            <w:vAlign w:val="center"/>
            <w:shd w:fill="F1F5F9"/>
          </w:tcPr>
          <w:p>
            <w:pPr>
              <w:spacing w:after="20"/>
            </w:pPr>
            <w:r/>
            <w:r>
              <w:rPr>
                <w:rFonts w:ascii="Aptos" w:hAnsi="Aptos"/>
                <w:b w:val="0"/>
                <w:sz w:val="16"/>
              </w:rPr>
              <w:t>The publisher provides a supported API for the desired data.</w:t>
            </w:r>
          </w:p>
        </w:tc>
        <w:tc>
          <w:tcPr>
            <w:tcW w:type="dxa" w:w="3331"/>
            <w:vAlign w:val="center"/>
            <w:shd w:fill="F1F5F9"/>
          </w:tcPr>
          <w:p>
            <w:pPr>
              <w:spacing w:after="20"/>
            </w:pPr>
            <w:r/>
            <w:r>
              <w:rPr>
                <w:rFonts w:ascii="Aptos" w:hAnsi="Aptos"/>
                <w:b w:val="0"/>
                <w:sz w:val="16"/>
              </w:rPr>
              <w:t>Read API docs and terms, request only needed fields, respect rate limits, handle pagination, save request parameters and response metadata.</w:t>
            </w:r>
          </w:p>
        </w:tc>
      </w:tr>
      <w:tr>
        <w:tc>
          <w:tcPr>
            <w:tcW w:type="dxa" w:w="3331"/>
            <w:vAlign w:val="center"/>
          </w:tcPr>
          <w:p>
            <w:pPr>
              <w:spacing w:after="20"/>
            </w:pPr>
            <w:r/>
            <w:r>
              <w:rPr>
                <w:rFonts w:ascii="Aptos" w:hAnsi="Aptos"/>
                <w:b w:val="0"/>
                <w:sz w:val="16"/>
              </w:rPr>
              <w:t>Official report extraction</w:t>
            </w:r>
          </w:p>
        </w:tc>
        <w:tc>
          <w:tcPr>
            <w:tcW w:type="dxa" w:w="3331"/>
            <w:vAlign w:val="center"/>
          </w:tcPr>
          <w:p>
            <w:pPr>
              <w:spacing w:after="20"/>
            </w:pPr>
            <w:r/>
            <w:r>
              <w:rPr>
                <w:rFonts w:ascii="Aptos" w:hAnsi="Aptos"/>
                <w:b w:val="0"/>
                <w:sz w:val="16"/>
              </w:rPr>
              <w:t>Important data appear only in a published report.</w:t>
            </w:r>
          </w:p>
        </w:tc>
        <w:tc>
          <w:tcPr>
            <w:tcW w:type="dxa" w:w="3331"/>
            <w:vAlign w:val="center"/>
          </w:tcPr>
          <w:p>
            <w:pPr>
              <w:spacing w:after="20"/>
            </w:pPr>
            <w:r/>
            <w:r>
              <w:rPr>
                <w:rFonts w:ascii="Aptos" w:hAnsi="Aptos"/>
                <w:b w:val="0"/>
                <w:sz w:val="16"/>
              </w:rPr>
              <w:t>Record report title/page/table, manually verify extracted values, note OCR or transcription risks, and retain the report citation.</w:t>
            </w:r>
          </w:p>
        </w:tc>
      </w:tr>
      <w:tr>
        <w:tc>
          <w:tcPr>
            <w:tcW w:type="dxa" w:w="3331"/>
            <w:vAlign w:val="center"/>
            <w:shd w:fill="F1F5F9"/>
          </w:tcPr>
          <w:p>
            <w:pPr>
              <w:spacing w:after="20"/>
            </w:pPr>
            <w:r/>
            <w:r>
              <w:rPr>
                <w:rFonts w:ascii="Aptos" w:hAnsi="Aptos"/>
                <w:b w:val="0"/>
                <w:sz w:val="16"/>
              </w:rPr>
              <w:t>Data catalogue search</w:t>
            </w:r>
          </w:p>
        </w:tc>
        <w:tc>
          <w:tcPr>
            <w:tcW w:type="dxa" w:w="3331"/>
            <w:vAlign w:val="center"/>
            <w:shd w:fill="F1F5F9"/>
          </w:tcPr>
          <w:p>
            <w:pPr>
              <w:spacing w:after="20"/>
            </w:pPr>
            <w:r/>
            <w:r>
              <w:rPr>
                <w:rFonts w:ascii="Aptos" w:hAnsi="Aptos"/>
                <w:b w:val="0"/>
                <w:sz w:val="16"/>
              </w:rPr>
              <w:t>The precise dataset is not yet known.</w:t>
            </w:r>
          </w:p>
        </w:tc>
        <w:tc>
          <w:tcPr>
            <w:tcW w:type="dxa" w:w="3331"/>
            <w:vAlign w:val="center"/>
            <w:shd w:fill="F1F5F9"/>
          </w:tcPr>
          <w:p>
            <w:pPr>
              <w:spacing w:after="20"/>
            </w:pPr>
            <w:r/>
            <w:r>
              <w:rPr>
                <w:rFonts w:ascii="Aptos" w:hAnsi="Aptos"/>
                <w:b w:val="0"/>
                <w:sz w:val="16"/>
              </w:rPr>
              <w:t>Search by service, indicator, department, geography, and period; shortlist sources using the scorecard.</w:t>
            </w:r>
          </w:p>
        </w:tc>
      </w:tr>
    </w:tbl>
    <w:p/>
    <w:p>
      <w:pPr>
        <w:pStyle w:val="Heading2"/>
      </w:pPr>
      <w:r>
        <w:t>4.2 Step-by-step collection procedure</w:t>
      </w:r>
    </w:p>
    <w:p>
      <w:pPr>
        <w:pStyle w:val="ListNumber"/>
        <w:spacing w:after="40"/>
      </w:pPr>
      <w:r>
        <w:t>Translate each research question into required indicators, geography, time range, unit, and minimum acceptable coverage.</w:t>
      </w:r>
    </w:p>
    <w:p>
      <w:pPr>
        <w:pStyle w:val="ListNumber"/>
        <w:spacing w:after="40"/>
      </w:pPr>
      <w:r>
        <w:t>Search official repositories and capture metadata before downloading.</w:t>
      </w:r>
    </w:p>
    <w:p>
      <w:pPr>
        <w:pStyle w:val="ListNumber"/>
        <w:spacing w:after="40"/>
      </w:pPr>
      <w:r>
        <w:t>Check reuse terms, attribution requirements, API limits, and whether the file contains personal or restricted data.</w:t>
      </w:r>
    </w:p>
    <w:p>
      <w:pPr>
        <w:pStyle w:val="ListNumber"/>
        <w:spacing w:after="40"/>
      </w:pPr>
      <w:r>
        <w:t>Download or request only relevant public fields; avoid collecting unnecessary columns.</w:t>
      </w:r>
    </w:p>
    <w:p>
      <w:pPr>
        <w:pStyle w:val="ListNumber"/>
        <w:spacing w:after="40"/>
      </w:pPr>
      <w:r>
        <w:t>Save the unmodified file in data/raw using a stable name, for example source_dataset_YYYYMMDD.csv.</w:t>
      </w:r>
    </w:p>
    <w:p>
      <w:pPr>
        <w:pStyle w:val="ListNumber"/>
        <w:spacing w:after="40"/>
      </w:pPr>
      <w:r>
        <w:t>Record source URL, access date, version/release, file format, and extraction method in the inventory.</w:t>
      </w:r>
    </w:p>
    <w:p>
      <w:pPr>
        <w:pStyle w:val="ListNumber"/>
        <w:spacing w:after="40"/>
      </w:pPr>
      <w:r>
        <w:t>Inspect file encoding, delimiter, worksheet names, JSON structure, schema, and row/column counts.</w:t>
      </w:r>
    </w:p>
    <w:p>
      <w:pPr>
        <w:pStyle w:val="ListNumber"/>
        <w:spacing w:after="40"/>
      </w:pPr>
      <w:r>
        <w:t>Create a processing log with input file, script/notebook version, transformation, timestamp, and output path.</w:t>
      </w:r>
    </w:p>
    <w:p>
      <w:pPr>
        <w:pStyle w:val="ListNumber"/>
        <w:spacing w:after="40"/>
      </w:pPr>
      <w:r>
        <w:t>Store cleaned output in data/processed and never overwrite the original raw source.</w:t>
      </w:r>
    </w:p>
    <w:p>
      <w:pPr>
        <w:pStyle w:val="ListNumber"/>
        <w:spacing w:after="40"/>
      </w:pPr>
      <w:r>
        <w:t>If a source changes, save a new dated version and compare schema/metadata before merging it with earlier data.</w:t>
      </w:r>
    </w:p>
    <w:p>
      <w:pPr>
        <w:pStyle w:val="Heading1"/>
      </w:pPr>
      <w:r>
        <w:t>5. Data Storage and File Management</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pPr>
            <w:r/>
            <w:r>
              <w:rPr>
                <w:rFonts w:ascii="Aptos" w:hAnsi="Aptos"/>
                <w:b/>
                <w:color w:val="FFFFFF"/>
                <w:sz w:val="17"/>
              </w:rPr>
              <w:t>Folder</w:t>
            </w:r>
          </w:p>
        </w:tc>
        <w:tc>
          <w:tcPr>
            <w:tcW w:type="dxa" w:w="3331"/>
            <w:vAlign w:val="center"/>
            <w:shd w:fill="17365D"/>
          </w:tcPr>
          <w:p>
            <w:pPr>
              <w:spacing w:after="20"/>
            </w:pPr>
            <w:r/>
            <w:r>
              <w:rPr>
                <w:rFonts w:ascii="Aptos" w:hAnsi="Aptos"/>
                <w:b/>
                <w:color w:val="FFFFFF"/>
                <w:sz w:val="17"/>
              </w:rPr>
              <w:t>Purpose</w:t>
            </w:r>
          </w:p>
        </w:tc>
        <w:tc>
          <w:tcPr>
            <w:tcW w:type="dxa" w:w="3331"/>
            <w:vAlign w:val="center"/>
            <w:shd w:fill="17365D"/>
          </w:tcPr>
          <w:p>
            <w:pPr>
              <w:spacing w:after="20"/>
            </w:pPr>
            <w:r/>
            <w:r>
              <w:rPr>
                <w:rFonts w:ascii="Aptos" w:hAnsi="Aptos"/>
                <w:b/>
                <w:color w:val="FFFFFF"/>
                <w:sz w:val="17"/>
              </w:rPr>
              <w:t>Rules</w:t>
            </w:r>
          </w:p>
        </w:tc>
      </w:tr>
      <w:tr>
        <w:tc>
          <w:tcPr>
            <w:tcW w:type="dxa" w:w="3331"/>
            <w:vAlign w:val="center"/>
          </w:tcPr>
          <w:p>
            <w:pPr>
              <w:spacing w:after="20"/>
            </w:pPr>
            <w:r/>
            <w:r>
              <w:rPr>
                <w:rFonts w:ascii="Aptos" w:hAnsi="Aptos"/>
                <w:b w:val="0"/>
                <w:sz w:val="16"/>
              </w:rPr>
              <w:t>data/raw/</w:t>
            </w:r>
          </w:p>
        </w:tc>
        <w:tc>
          <w:tcPr>
            <w:tcW w:type="dxa" w:w="3331"/>
            <w:vAlign w:val="center"/>
          </w:tcPr>
          <w:p>
            <w:pPr>
              <w:spacing w:after="20"/>
            </w:pPr>
            <w:r/>
            <w:r>
              <w:rPr>
                <w:rFonts w:ascii="Aptos" w:hAnsi="Aptos"/>
                <w:b w:val="0"/>
                <w:sz w:val="16"/>
              </w:rPr>
              <w:t>Original downloads and raw API responses.</w:t>
            </w:r>
          </w:p>
        </w:tc>
        <w:tc>
          <w:tcPr>
            <w:tcW w:type="dxa" w:w="3331"/>
            <w:vAlign w:val="center"/>
          </w:tcPr>
          <w:p>
            <w:pPr>
              <w:spacing w:after="20"/>
            </w:pPr>
            <w:r/>
            <w:r>
              <w:rPr>
                <w:rFonts w:ascii="Aptos" w:hAnsi="Aptos"/>
                <w:b w:val="0"/>
                <w:sz w:val="16"/>
              </w:rPr>
              <w:t>Read-only in practice; do not manually clean or overwrite.</w:t>
            </w:r>
          </w:p>
        </w:tc>
      </w:tr>
      <w:tr>
        <w:tc>
          <w:tcPr>
            <w:tcW w:type="dxa" w:w="3331"/>
            <w:vAlign w:val="center"/>
            <w:shd w:fill="F1F5F9"/>
          </w:tcPr>
          <w:p>
            <w:pPr>
              <w:spacing w:after="20"/>
            </w:pPr>
            <w:r/>
            <w:r>
              <w:rPr>
                <w:rFonts w:ascii="Aptos" w:hAnsi="Aptos"/>
                <w:b w:val="0"/>
                <w:sz w:val="16"/>
              </w:rPr>
              <w:t>data/interim/</w:t>
            </w:r>
          </w:p>
        </w:tc>
        <w:tc>
          <w:tcPr>
            <w:tcW w:type="dxa" w:w="3331"/>
            <w:vAlign w:val="center"/>
            <w:shd w:fill="F1F5F9"/>
          </w:tcPr>
          <w:p>
            <w:pPr>
              <w:spacing w:after="20"/>
            </w:pPr>
            <w:r/>
            <w:r>
              <w:rPr>
                <w:rFonts w:ascii="Aptos" w:hAnsi="Aptos"/>
                <w:b w:val="0"/>
                <w:sz w:val="16"/>
              </w:rPr>
              <w:t>Temporary files after parsing or initial standardization.</w:t>
            </w:r>
          </w:p>
        </w:tc>
        <w:tc>
          <w:tcPr>
            <w:tcW w:type="dxa" w:w="3331"/>
            <w:vAlign w:val="center"/>
            <w:shd w:fill="F1F5F9"/>
          </w:tcPr>
          <w:p>
            <w:pPr>
              <w:spacing w:after="20"/>
            </w:pPr>
            <w:r/>
            <w:r>
              <w:rPr>
                <w:rFonts w:ascii="Aptos" w:hAnsi="Aptos"/>
                <w:b w:val="0"/>
                <w:sz w:val="16"/>
              </w:rPr>
              <w:t>Rebuild from raw data; label intermediate steps clearly.</w:t>
            </w:r>
          </w:p>
        </w:tc>
      </w:tr>
      <w:tr>
        <w:tc>
          <w:tcPr>
            <w:tcW w:type="dxa" w:w="3331"/>
            <w:vAlign w:val="center"/>
          </w:tcPr>
          <w:p>
            <w:pPr>
              <w:spacing w:after="20"/>
            </w:pPr>
            <w:r/>
            <w:r>
              <w:rPr>
                <w:rFonts w:ascii="Aptos" w:hAnsi="Aptos"/>
                <w:b w:val="0"/>
                <w:sz w:val="16"/>
              </w:rPr>
              <w:t>data/processed/</w:t>
            </w:r>
          </w:p>
        </w:tc>
        <w:tc>
          <w:tcPr>
            <w:tcW w:type="dxa" w:w="3331"/>
            <w:vAlign w:val="center"/>
          </w:tcPr>
          <w:p>
            <w:pPr>
              <w:spacing w:after="20"/>
            </w:pPr>
            <w:r/>
            <w:r>
              <w:rPr>
                <w:rFonts w:ascii="Aptos" w:hAnsi="Aptos"/>
                <w:b w:val="0"/>
                <w:sz w:val="16"/>
              </w:rPr>
              <w:t>Validated analysis-ready files.</w:t>
            </w:r>
          </w:p>
        </w:tc>
        <w:tc>
          <w:tcPr>
            <w:tcW w:type="dxa" w:w="3331"/>
            <w:vAlign w:val="center"/>
          </w:tcPr>
          <w:p>
            <w:pPr>
              <w:spacing w:after="20"/>
            </w:pPr>
            <w:r/>
            <w:r>
              <w:rPr>
                <w:rFonts w:ascii="Aptos" w:hAnsi="Aptos"/>
                <w:b w:val="0"/>
                <w:sz w:val="16"/>
              </w:rPr>
              <w:t>Include consistent schema, data dictionary, and quality report.</w:t>
            </w:r>
          </w:p>
        </w:tc>
      </w:tr>
      <w:tr>
        <w:tc>
          <w:tcPr>
            <w:tcW w:type="dxa" w:w="3331"/>
            <w:vAlign w:val="center"/>
            <w:shd w:fill="F1F5F9"/>
          </w:tcPr>
          <w:p>
            <w:pPr>
              <w:spacing w:after="20"/>
            </w:pPr>
            <w:r/>
            <w:r>
              <w:rPr>
                <w:rFonts w:ascii="Aptos" w:hAnsi="Aptos"/>
                <w:b w:val="0"/>
                <w:sz w:val="16"/>
              </w:rPr>
              <w:t>metadata/</w:t>
            </w:r>
          </w:p>
        </w:tc>
        <w:tc>
          <w:tcPr>
            <w:tcW w:type="dxa" w:w="3331"/>
            <w:vAlign w:val="center"/>
            <w:shd w:fill="F1F5F9"/>
          </w:tcPr>
          <w:p>
            <w:pPr>
              <w:spacing w:after="20"/>
            </w:pPr>
            <w:r/>
            <w:r>
              <w:rPr>
                <w:rFonts w:ascii="Aptos" w:hAnsi="Aptos"/>
                <w:b w:val="0"/>
                <w:sz w:val="16"/>
              </w:rPr>
              <w:t>Source inventory, data dictionary, licences, and extraction notes.</w:t>
            </w:r>
          </w:p>
        </w:tc>
        <w:tc>
          <w:tcPr>
            <w:tcW w:type="dxa" w:w="3331"/>
            <w:vAlign w:val="center"/>
            <w:shd w:fill="F1F5F9"/>
          </w:tcPr>
          <w:p>
            <w:pPr>
              <w:spacing w:after="20"/>
            </w:pPr>
            <w:r/>
            <w:r>
              <w:rPr>
                <w:rFonts w:ascii="Aptos" w:hAnsi="Aptos"/>
                <w:b w:val="0"/>
                <w:sz w:val="16"/>
              </w:rPr>
              <w:t>Keep provenance close to the data.</w:t>
            </w:r>
          </w:p>
        </w:tc>
      </w:tr>
      <w:tr>
        <w:tc>
          <w:tcPr>
            <w:tcW w:type="dxa" w:w="3331"/>
            <w:vAlign w:val="center"/>
          </w:tcPr>
          <w:p>
            <w:pPr>
              <w:spacing w:after="20"/>
            </w:pPr>
            <w:r/>
            <w:r>
              <w:rPr>
                <w:rFonts w:ascii="Aptos" w:hAnsi="Aptos"/>
                <w:b w:val="0"/>
                <w:sz w:val="16"/>
              </w:rPr>
              <w:t>src/</w:t>
            </w:r>
          </w:p>
        </w:tc>
        <w:tc>
          <w:tcPr>
            <w:tcW w:type="dxa" w:w="3331"/>
            <w:vAlign w:val="center"/>
          </w:tcPr>
          <w:p>
            <w:pPr>
              <w:spacing w:after="20"/>
            </w:pPr>
            <w:r/>
            <w:r>
              <w:rPr>
                <w:rFonts w:ascii="Aptos" w:hAnsi="Aptos"/>
                <w:b w:val="0"/>
                <w:sz w:val="16"/>
              </w:rPr>
              <w:t>Reusable Python functions for ingestion, cleaning, and validation.</w:t>
            </w:r>
          </w:p>
        </w:tc>
        <w:tc>
          <w:tcPr>
            <w:tcW w:type="dxa" w:w="3331"/>
            <w:vAlign w:val="center"/>
          </w:tcPr>
          <w:p>
            <w:pPr>
              <w:spacing w:after="20"/>
            </w:pPr>
            <w:r/>
            <w:r>
              <w:rPr>
                <w:rFonts w:ascii="Aptos" w:hAnsi="Aptos"/>
                <w:b w:val="0"/>
                <w:sz w:val="16"/>
              </w:rPr>
              <w:t>Use clear names and avoid hard-coded machine-specific paths.</w:t>
            </w:r>
          </w:p>
        </w:tc>
      </w:tr>
      <w:tr>
        <w:tc>
          <w:tcPr>
            <w:tcW w:type="dxa" w:w="3331"/>
            <w:vAlign w:val="center"/>
            <w:shd w:fill="F1F5F9"/>
          </w:tcPr>
          <w:p>
            <w:pPr>
              <w:spacing w:after="20"/>
            </w:pPr>
            <w:r/>
            <w:r>
              <w:rPr>
                <w:rFonts w:ascii="Aptos" w:hAnsi="Aptos"/>
                <w:b w:val="0"/>
                <w:sz w:val="16"/>
              </w:rPr>
              <w:t>notebooks/</w:t>
            </w:r>
          </w:p>
        </w:tc>
        <w:tc>
          <w:tcPr>
            <w:tcW w:type="dxa" w:w="3331"/>
            <w:vAlign w:val="center"/>
            <w:shd w:fill="F1F5F9"/>
          </w:tcPr>
          <w:p>
            <w:pPr>
              <w:spacing w:after="20"/>
            </w:pPr>
            <w:r/>
            <w:r>
              <w:rPr>
                <w:rFonts w:ascii="Aptos" w:hAnsi="Aptos"/>
                <w:b w:val="0"/>
                <w:sz w:val="16"/>
              </w:rPr>
              <w:t>Exploratory checks and documented analysis.</w:t>
            </w:r>
          </w:p>
        </w:tc>
        <w:tc>
          <w:tcPr>
            <w:tcW w:type="dxa" w:w="3331"/>
            <w:vAlign w:val="center"/>
            <w:shd w:fill="F1F5F9"/>
          </w:tcPr>
          <w:p>
            <w:pPr>
              <w:spacing w:after="20"/>
            </w:pPr>
            <w:r/>
            <w:r>
              <w:rPr>
                <w:rFonts w:ascii="Aptos" w:hAnsi="Aptos"/>
                <w:b w:val="0"/>
                <w:sz w:val="16"/>
              </w:rPr>
              <w:t>Restart and run from top to bottom before submission.</w:t>
            </w:r>
          </w:p>
        </w:tc>
      </w:tr>
      <w:tr>
        <w:tc>
          <w:tcPr>
            <w:tcW w:type="dxa" w:w="3331"/>
            <w:vAlign w:val="center"/>
          </w:tcPr>
          <w:p>
            <w:pPr>
              <w:spacing w:after="20"/>
            </w:pPr>
            <w:r/>
            <w:r>
              <w:rPr>
                <w:rFonts w:ascii="Aptos" w:hAnsi="Aptos"/>
                <w:b w:val="0"/>
                <w:sz w:val="16"/>
              </w:rPr>
              <w:t>outputs/quality_reports/</w:t>
            </w:r>
          </w:p>
        </w:tc>
        <w:tc>
          <w:tcPr>
            <w:tcW w:type="dxa" w:w="3331"/>
            <w:vAlign w:val="center"/>
          </w:tcPr>
          <w:p>
            <w:pPr>
              <w:spacing w:after="20"/>
            </w:pPr>
            <w:r/>
            <w:r>
              <w:rPr>
                <w:rFonts w:ascii="Aptos" w:hAnsi="Aptos"/>
                <w:b w:val="0"/>
                <w:sz w:val="16"/>
              </w:rPr>
              <w:t>Validation summaries and cleaning logs.</w:t>
            </w:r>
          </w:p>
        </w:tc>
        <w:tc>
          <w:tcPr>
            <w:tcW w:type="dxa" w:w="3331"/>
            <w:vAlign w:val="center"/>
          </w:tcPr>
          <w:p>
            <w:pPr>
              <w:spacing w:after="20"/>
            </w:pPr>
            <w:r/>
            <w:r>
              <w:rPr>
                <w:rFonts w:ascii="Aptos" w:hAnsi="Aptos"/>
                <w:b w:val="0"/>
                <w:sz w:val="16"/>
              </w:rPr>
              <w:t>Include row counts, missingness, and warnings.</w:t>
            </w:r>
          </w:p>
        </w:tc>
      </w:tr>
    </w:tbl>
    <w:p/>
    <w:p>
      <w:r>
        <w:t>For larger files, use efficient formats such as Parquet only when useful and supported by the workflow. Do not commit large or restricted datasets to GitHub. If redistribution is not permitted, commit code and metadata instead and explain how to retrieve the data from the official source.</w:t>
      </w:r>
    </w:p>
    <w:p>
      <w:pPr>
        <w:pStyle w:val="Heading1"/>
      </w:pPr>
      <w:r>
        <w:t>6. Preprocessing Framework Using Python</w:t>
      </w:r>
    </w:p>
    <w:p>
      <w:pPr>
        <w:pStyle w:val="Heading2"/>
      </w:pPr>
      <w:r>
        <w:t>6.1 Recommended libraries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pPr>
            <w:r/>
            <w:r>
              <w:rPr>
                <w:rFonts w:ascii="Aptos" w:hAnsi="Aptos"/>
                <w:b/>
                <w:color w:val="FFFFFF"/>
                <w:sz w:val="17"/>
              </w:rPr>
              <w:t>Library</w:t>
            </w:r>
          </w:p>
        </w:tc>
        <w:tc>
          <w:tcPr>
            <w:tcW w:type="dxa" w:w="3331"/>
            <w:vAlign w:val="center"/>
            <w:shd w:fill="17365D"/>
          </w:tcPr>
          <w:p>
            <w:pPr>
              <w:spacing w:after="20"/>
            </w:pPr>
            <w:r/>
            <w:r>
              <w:rPr>
                <w:rFonts w:ascii="Aptos" w:hAnsi="Aptos"/>
                <w:b/>
                <w:color w:val="FFFFFF"/>
                <w:sz w:val="17"/>
              </w:rPr>
              <w:t>Role</w:t>
            </w:r>
          </w:p>
        </w:tc>
        <w:tc>
          <w:tcPr>
            <w:tcW w:type="dxa" w:w="3331"/>
            <w:vAlign w:val="center"/>
            <w:shd w:fill="17365D"/>
          </w:tcPr>
          <w:p>
            <w:pPr>
              <w:spacing w:after="20"/>
            </w:pPr>
            <w:r/>
            <w:r>
              <w:rPr>
                <w:rFonts w:ascii="Aptos" w:hAnsi="Aptos"/>
                <w:b/>
                <w:color w:val="FFFFFF"/>
                <w:sz w:val="17"/>
              </w:rPr>
              <w:t>Use in this project</w:t>
            </w:r>
          </w:p>
        </w:tc>
      </w:tr>
      <w:tr>
        <w:tc>
          <w:tcPr>
            <w:tcW w:type="dxa" w:w="3331"/>
            <w:vAlign w:val="center"/>
          </w:tcPr>
          <w:p>
            <w:pPr>
              <w:spacing w:after="20"/>
            </w:pPr>
            <w:r/>
            <w:r>
              <w:rPr>
                <w:rFonts w:ascii="Aptos" w:hAnsi="Aptos"/>
                <w:b w:val="0"/>
                <w:sz w:val="16"/>
              </w:rPr>
              <w:t>pandas</w:t>
            </w:r>
          </w:p>
        </w:tc>
        <w:tc>
          <w:tcPr>
            <w:tcW w:type="dxa" w:w="3331"/>
            <w:vAlign w:val="center"/>
          </w:tcPr>
          <w:p>
            <w:pPr>
              <w:spacing w:after="20"/>
            </w:pPr>
            <w:r/>
            <w:r>
              <w:rPr>
                <w:rFonts w:ascii="Aptos" w:hAnsi="Aptos"/>
                <w:b w:val="0"/>
                <w:sz w:val="16"/>
              </w:rPr>
              <w:t>Tabular data processing.</w:t>
            </w:r>
          </w:p>
        </w:tc>
        <w:tc>
          <w:tcPr>
            <w:tcW w:type="dxa" w:w="3331"/>
            <w:vAlign w:val="center"/>
          </w:tcPr>
          <w:p>
            <w:pPr>
              <w:spacing w:after="20"/>
            </w:pPr>
            <w:r/>
            <w:r>
              <w:rPr>
                <w:rFonts w:ascii="Aptos" w:hAnsi="Aptos"/>
                <w:b w:val="0"/>
                <w:sz w:val="16"/>
              </w:rPr>
              <w:t>Read CSV/XLSX/JSON; inspect schema; handle missing values; remove duplicates; standardize columns; parse dates; group and export.</w:t>
            </w:r>
          </w:p>
        </w:tc>
      </w:tr>
      <w:tr>
        <w:tc>
          <w:tcPr>
            <w:tcW w:type="dxa" w:w="3331"/>
            <w:vAlign w:val="center"/>
            <w:shd w:fill="F1F5F9"/>
          </w:tcPr>
          <w:p>
            <w:pPr>
              <w:spacing w:after="20"/>
            </w:pPr>
            <w:r/>
            <w:r>
              <w:rPr>
                <w:rFonts w:ascii="Aptos" w:hAnsi="Aptos"/>
                <w:b w:val="0"/>
                <w:sz w:val="16"/>
              </w:rPr>
              <w:t>NumPy</w:t>
            </w:r>
          </w:p>
        </w:tc>
        <w:tc>
          <w:tcPr>
            <w:tcW w:type="dxa" w:w="3331"/>
            <w:vAlign w:val="center"/>
            <w:shd w:fill="F1F5F9"/>
          </w:tcPr>
          <w:p>
            <w:pPr>
              <w:spacing w:after="20"/>
            </w:pPr>
            <w:r/>
            <w:r>
              <w:rPr>
                <w:rFonts w:ascii="Aptos" w:hAnsi="Aptos"/>
                <w:b w:val="0"/>
                <w:sz w:val="16"/>
              </w:rPr>
              <w:t>Numeric operations and array support.</w:t>
            </w:r>
          </w:p>
        </w:tc>
        <w:tc>
          <w:tcPr>
            <w:tcW w:type="dxa" w:w="3331"/>
            <w:vAlign w:val="center"/>
            <w:shd w:fill="F1F5F9"/>
          </w:tcPr>
          <w:p>
            <w:pPr>
              <w:spacing w:after="20"/>
            </w:pPr>
            <w:r/>
            <w:r>
              <w:rPr>
                <w:rFonts w:ascii="Aptos" w:hAnsi="Aptos"/>
                <w:b w:val="0"/>
                <w:sz w:val="16"/>
              </w:rPr>
              <w:t>Use NaN-aware calculations, numeric checks, and controlled transformations.</w:t>
            </w:r>
          </w:p>
        </w:tc>
      </w:tr>
      <w:tr>
        <w:tc>
          <w:tcPr>
            <w:tcW w:type="dxa" w:w="3331"/>
            <w:vAlign w:val="center"/>
          </w:tcPr>
          <w:p>
            <w:pPr>
              <w:spacing w:after="20"/>
            </w:pPr>
            <w:r/>
            <w:r>
              <w:rPr>
                <w:rFonts w:ascii="Aptos" w:hAnsi="Aptos"/>
                <w:b w:val="0"/>
                <w:sz w:val="16"/>
              </w:rPr>
              <w:t>scikit-learn</w:t>
            </w:r>
          </w:p>
        </w:tc>
        <w:tc>
          <w:tcPr>
            <w:tcW w:type="dxa" w:w="3331"/>
            <w:vAlign w:val="center"/>
          </w:tcPr>
          <w:p>
            <w:pPr>
              <w:spacing w:after="20"/>
            </w:pPr>
            <w:r/>
            <w:r>
              <w:rPr>
                <w:rFonts w:ascii="Aptos" w:hAnsi="Aptos"/>
                <w:b w:val="0"/>
                <w:sz w:val="16"/>
              </w:rPr>
              <w:t>Preprocessing utilities for selected analytical tasks.</w:t>
            </w:r>
          </w:p>
        </w:tc>
        <w:tc>
          <w:tcPr>
            <w:tcW w:type="dxa" w:w="3331"/>
            <w:vAlign w:val="center"/>
          </w:tcPr>
          <w:p>
            <w:pPr>
              <w:spacing w:after="20"/>
            </w:pPr>
            <w:r/>
            <w:r>
              <w:rPr>
                <w:rFonts w:ascii="Aptos" w:hAnsi="Aptos"/>
                <w:b w:val="0"/>
                <w:sz w:val="16"/>
              </w:rPr>
              <w:t>Use SimpleImputer, StandardScaler, MinMaxScaler, or encoders only if a later analysis/model requires them. Fit transformations on training data only when predictive modelling is involved.</w:t>
            </w:r>
          </w:p>
        </w:tc>
      </w:tr>
      <w:tr>
        <w:tc>
          <w:tcPr>
            <w:tcW w:type="dxa" w:w="3331"/>
            <w:vAlign w:val="center"/>
            <w:shd w:fill="F1F5F9"/>
          </w:tcPr>
          <w:p>
            <w:pPr>
              <w:spacing w:after="20"/>
            </w:pPr>
            <w:r/>
            <w:r>
              <w:rPr>
                <w:rFonts w:ascii="Aptos" w:hAnsi="Aptos"/>
                <w:b w:val="0"/>
                <w:sz w:val="16"/>
              </w:rPr>
              <w:t>Matplotlib / Seaborn</w:t>
            </w:r>
          </w:p>
        </w:tc>
        <w:tc>
          <w:tcPr>
            <w:tcW w:type="dxa" w:w="3331"/>
            <w:vAlign w:val="center"/>
            <w:shd w:fill="F1F5F9"/>
          </w:tcPr>
          <w:p>
            <w:pPr>
              <w:spacing w:after="20"/>
            </w:pPr>
            <w:r/>
            <w:r>
              <w:rPr>
                <w:rFonts w:ascii="Aptos" w:hAnsi="Aptos"/>
                <w:b w:val="0"/>
                <w:sz w:val="16"/>
              </w:rPr>
              <w:t>Diagnostic visualizations.</w:t>
            </w:r>
          </w:p>
        </w:tc>
        <w:tc>
          <w:tcPr>
            <w:tcW w:type="dxa" w:w="3331"/>
            <w:vAlign w:val="center"/>
            <w:shd w:fill="F1F5F9"/>
          </w:tcPr>
          <w:p>
            <w:pPr>
              <w:spacing w:after="20"/>
            </w:pPr>
            <w:r/>
            <w:r>
              <w:rPr>
                <w:rFonts w:ascii="Aptos" w:hAnsi="Aptos"/>
                <w:b w:val="0"/>
                <w:sz w:val="16"/>
              </w:rPr>
              <w:t>Plot missingness, distributions, outliers, and category counts to support quality review.</w:t>
            </w:r>
          </w:p>
        </w:tc>
      </w:tr>
      <w:tr>
        <w:tc>
          <w:tcPr>
            <w:tcW w:type="dxa" w:w="3331"/>
            <w:vAlign w:val="center"/>
          </w:tcPr>
          <w:p>
            <w:pPr>
              <w:spacing w:after="20"/>
            </w:pPr>
            <w:r/>
            <w:r>
              <w:rPr>
                <w:rFonts w:ascii="Aptos" w:hAnsi="Aptos"/>
                <w:b w:val="0"/>
                <w:sz w:val="16"/>
              </w:rPr>
              <w:t>openpyxl</w:t>
            </w:r>
          </w:p>
        </w:tc>
        <w:tc>
          <w:tcPr>
            <w:tcW w:type="dxa" w:w="3331"/>
            <w:vAlign w:val="center"/>
          </w:tcPr>
          <w:p>
            <w:pPr>
              <w:spacing w:after="20"/>
            </w:pPr>
            <w:r/>
            <w:r>
              <w:rPr>
                <w:rFonts w:ascii="Aptos" w:hAnsi="Aptos"/>
                <w:b w:val="0"/>
                <w:sz w:val="16"/>
              </w:rPr>
              <w:t>Excel file support.</w:t>
            </w:r>
          </w:p>
        </w:tc>
        <w:tc>
          <w:tcPr>
            <w:tcW w:type="dxa" w:w="3331"/>
            <w:vAlign w:val="center"/>
          </w:tcPr>
          <w:p>
            <w:pPr>
              <w:spacing w:after="20"/>
            </w:pPr>
            <w:r/>
            <w:r>
              <w:rPr>
                <w:rFonts w:ascii="Aptos" w:hAnsi="Aptos"/>
                <w:b w:val="0"/>
                <w:sz w:val="16"/>
              </w:rPr>
              <w:t>Read and write .xlsx files through pandas when the source is spreadsheet-based.</w:t>
            </w:r>
          </w:p>
        </w:tc>
      </w:tr>
      <w:tr>
        <w:tc>
          <w:tcPr>
            <w:tcW w:type="dxa" w:w="3331"/>
            <w:vAlign w:val="center"/>
            <w:shd w:fill="F1F5F9"/>
          </w:tcPr>
          <w:p>
            <w:pPr>
              <w:spacing w:after="20"/>
            </w:pPr>
            <w:r/>
            <w:r>
              <w:rPr>
                <w:rFonts w:ascii="Aptos" w:hAnsi="Aptos"/>
                <w:b w:val="0"/>
                <w:sz w:val="16"/>
              </w:rPr>
              <w:t>pathlib / hashlib / logging</w:t>
            </w:r>
          </w:p>
        </w:tc>
        <w:tc>
          <w:tcPr>
            <w:tcW w:type="dxa" w:w="3331"/>
            <w:vAlign w:val="center"/>
            <w:shd w:fill="F1F5F9"/>
          </w:tcPr>
          <w:p>
            <w:pPr>
              <w:spacing w:after="20"/>
            </w:pPr>
            <w:r/>
            <w:r>
              <w:rPr>
                <w:rFonts w:ascii="Aptos" w:hAnsi="Aptos"/>
                <w:b w:val="0"/>
                <w:sz w:val="16"/>
              </w:rPr>
              <w:t>File paths, integrity, and process records.</w:t>
            </w:r>
          </w:p>
        </w:tc>
        <w:tc>
          <w:tcPr>
            <w:tcW w:type="dxa" w:w="3331"/>
            <w:vAlign w:val="center"/>
            <w:shd w:fill="F1F5F9"/>
          </w:tcPr>
          <w:p>
            <w:pPr>
              <w:spacing w:after="20"/>
            </w:pPr>
            <w:r/>
            <w:r>
              <w:rPr>
                <w:rFonts w:ascii="Aptos" w:hAnsi="Aptos"/>
                <w:b w:val="0"/>
                <w:sz w:val="16"/>
              </w:rPr>
              <w:t>Build portable paths, optionally hash raw files, and record errors and processing steps.</w:t>
            </w:r>
          </w:p>
        </w:tc>
      </w:tr>
    </w:tbl>
    <w:p/>
    <w:p>
      <w:pPr>
        <w:pStyle w:val="Heading2"/>
      </w:pPr>
      <w:r>
        <w:t>6.2 Preprocessing sequence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pPr>
            <w:r/>
            <w:r>
              <w:rPr>
                <w:rFonts w:ascii="Aptos" w:hAnsi="Aptos"/>
                <w:b/>
                <w:color w:val="FFFFFF"/>
                <w:sz w:val="17"/>
              </w:rPr>
              <w:t>Step</w:t>
            </w:r>
          </w:p>
        </w:tc>
        <w:tc>
          <w:tcPr>
            <w:tcW w:type="dxa" w:w="3331"/>
            <w:vAlign w:val="center"/>
            <w:shd w:fill="17365D"/>
          </w:tcPr>
          <w:p>
            <w:pPr>
              <w:spacing w:after="20"/>
            </w:pPr>
            <w:r/>
            <w:r>
              <w:rPr>
                <w:rFonts w:ascii="Aptos" w:hAnsi="Aptos"/>
                <w:b/>
                <w:color w:val="FFFFFF"/>
                <w:sz w:val="17"/>
              </w:rPr>
              <w:t>Technique</w:t>
            </w:r>
          </w:p>
        </w:tc>
        <w:tc>
          <w:tcPr>
            <w:tcW w:type="dxa" w:w="3331"/>
            <w:vAlign w:val="center"/>
            <w:shd w:fill="17365D"/>
          </w:tcPr>
          <w:p>
            <w:pPr>
              <w:spacing w:after="20"/>
            </w:pPr>
            <w:r/>
            <w:r>
              <w:rPr>
                <w:rFonts w:ascii="Aptos" w:hAnsi="Aptos"/>
                <w:b/>
                <w:color w:val="FFFFFF"/>
                <w:sz w:val="17"/>
              </w:rPr>
              <w:t>Decision guidance / validation</w:t>
            </w:r>
          </w:p>
        </w:tc>
      </w:tr>
      <w:tr>
        <w:tc>
          <w:tcPr>
            <w:tcW w:type="dxa" w:w="3331"/>
            <w:vAlign w:val="center"/>
          </w:tcPr>
          <w:p>
            <w:pPr>
              <w:spacing w:after="20"/>
            </w:pPr>
            <w:r/>
            <w:r>
              <w:rPr>
                <w:rFonts w:ascii="Aptos" w:hAnsi="Aptos"/>
                <w:b w:val="0"/>
                <w:sz w:val="16"/>
              </w:rPr>
              <w:t>1. Load and profile</w:t>
            </w:r>
          </w:p>
        </w:tc>
        <w:tc>
          <w:tcPr>
            <w:tcW w:type="dxa" w:w="3331"/>
            <w:vAlign w:val="center"/>
          </w:tcPr>
          <w:p>
            <w:pPr>
              <w:spacing w:after="20"/>
            </w:pPr>
            <w:r/>
            <w:r>
              <w:rPr>
                <w:rFonts w:ascii="Aptos" w:hAnsi="Aptos"/>
                <w:b w:val="0"/>
                <w:sz w:val="16"/>
              </w:rPr>
              <w:t>Read file with explicit encoding/delimiter where needed; inspect head, shape, dtypes, and columns.</w:t>
            </w:r>
          </w:p>
        </w:tc>
        <w:tc>
          <w:tcPr>
            <w:tcW w:type="dxa" w:w="3331"/>
            <w:vAlign w:val="center"/>
          </w:tcPr>
          <w:p>
            <w:pPr>
              <w:spacing w:after="20"/>
            </w:pPr>
            <w:r/>
            <w:r>
              <w:rPr>
                <w:rFonts w:ascii="Aptos" w:hAnsi="Aptos"/>
                <w:b w:val="0"/>
                <w:sz w:val="16"/>
              </w:rPr>
              <w:t>Check expected schema and compare row counts with source metadata.</w:t>
            </w:r>
          </w:p>
        </w:tc>
      </w:tr>
      <w:tr>
        <w:tc>
          <w:tcPr>
            <w:tcW w:type="dxa" w:w="3331"/>
            <w:vAlign w:val="center"/>
            <w:shd w:fill="F1F5F9"/>
          </w:tcPr>
          <w:p>
            <w:pPr>
              <w:spacing w:after="20"/>
            </w:pPr>
            <w:r/>
            <w:r>
              <w:rPr>
                <w:rFonts w:ascii="Aptos" w:hAnsi="Aptos"/>
                <w:b w:val="0"/>
                <w:sz w:val="16"/>
              </w:rPr>
              <w:t>2. Normalize column names</w:t>
            </w:r>
          </w:p>
        </w:tc>
        <w:tc>
          <w:tcPr>
            <w:tcW w:type="dxa" w:w="3331"/>
            <w:vAlign w:val="center"/>
            <w:shd w:fill="F1F5F9"/>
          </w:tcPr>
          <w:p>
            <w:pPr>
              <w:spacing w:after="20"/>
            </w:pPr>
            <w:r/>
            <w:r>
              <w:rPr>
                <w:rFonts w:ascii="Aptos" w:hAnsi="Aptos"/>
                <w:b w:val="0"/>
                <w:sz w:val="16"/>
              </w:rPr>
              <w:t>Trim whitespace, lowercase names, replace spaces with underscores.</w:t>
            </w:r>
          </w:p>
        </w:tc>
        <w:tc>
          <w:tcPr>
            <w:tcW w:type="dxa" w:w="3331"/>
            <w:vAlign w:val="center"/>
            <w:shd w:fill="F1F5F9"/>
          </w:tcPr>
          <w:p>
            <w:pPr>
              <w:spacing w:after="20"/>
            </w:pPr>
            <w:r/>
            <w:r>
              <w:rPr>
                <w:rFonts w:ascii="Aptos" w:hAnsi="Aptos"/>
                <w:b w:val="0"/>
                <w:sz w:val="16"/>
              </w:rPr>
              <w:t>Keep a mapping from original names to standardized names.</w:t>
            </w:r>
          </w:p>
        </w:tc>
      </w:tr>
      <w:tr>
        <w:tc>
          <w:tcPr>
            <w:tcW w:type="dxa" w:w="3331"/>
            <w:vAlign w:val="center"/>
          </w:tcPr>
          <w:p>
            <w:pPr>
              <w:spacing w:after="20"/>
            </w:pPr>
            <w:r/>
            <w:r>
              <w:rPr>
                <w:rFonts w:ascii="Aptos" w:hAnsi="Aptos"/>
                <w:b w:val="0"/>
                <w:sz w:val="16"/>
              </w:rPr>
              <w:t>3. Standardize missing values</w:t>
            </w:r>
          </w:p>
        </w:tc>
        <w:tc>
          <w:tcPr>
            <w:tcW w:type="dxa" w:w="3331"/>
            <w:vAlign w:val="center"/>
          </w:tcPr>
          <w:p>
            <w:pPr>
              <w:spacing w:after="20"/>
            </w:pPr>
            <w:r/>
            <w:r>
              <w:rPr>
                <w:rFonts w:ascii="Aptos" w:hAnsi="Aptos"/>
                <w:b w:val="0"/>
                <w:sz w:val="16"/>
              </w:rPr>
              <w:t>Convert documented tokens such as blank, 'NA', 'N/A', or '—' to missing values.</w:t>
            </w:r>
          </w:p>
        </w:tc>
        <w:tc>
          <w:tcPr>
            <w:tcW w:type="dxa" w:w="3331"/>
            <w:vAlign w:val="center"/>
          </w:tcPr>
          <w:p>
            <w:pPr>
              <w:spacing w:after="20"/>
            </w:pPr>
            <w:r/>
            <w:r>
              <w:rPr>
                <w:rFonts w:ascii="Aptos" w:hAnsi="Aptos"/>
                <w:b w:val="0"/>
                <w:sz w:val="16"/>
              </w:rPr>
              <w:t>Do not convert a meaningful value like zero to missing without evidence.</w:t>
            </w:r>
          </w:p>
        </w:tc>
      </w:tr>
      <w:tr>
        <w:tc>
          <w:tcPr>
            <w:tcW w:type="dxa" w:w="3331"/>
            <w:vAlign w:val="center"/>
            <w:shd w:fill="F1F5F9"/>
          </w:tcPr>
          <w:p>
            <w:pPr>
              <w:spacing w:after="20"/>
            </w:pPr>
            <w:r/>
            <w:r>
              <w:rPr>
                <w:rFonts w:ascii="Aptos" w:hAnsi="Aptos"/>
                <w:b w:val="0"/>
                <w:sz w:val="16"/>
              </w:rPr>
              <w:t>4. Correct data types</w:t>
            </w:r>
          </w:p>
        </w:tc>
        <w:tc>
          <w:tcPr>
            <w:tcW w:type="dxa" w:w="3331"/>
            <w:vAlign w:val="center"/>
            <w:shd w:fill="F1F5F9"/>
          </w:tcPr>
          <w:p>
            <w:pPr>
              <w:spacing w:after="20"/>
            </w:pPr>
            <w:r/>
            <w:r>
              <w:rPr>
                <w:rFonts w:ascii="Aptos" w:hAnsi="Aptos"/>
                <w:b w:val="0"/>
                <w:sz w:val="16"/>
              </w:rPr>
              <w:t>Parse dates, convert numeric fields, and use categorical types where appropriate.</w:t>
            </w:r>
          </w:p>
        </w:tc>
        <w:tc>
          <w:tcPr>
            <w:tcW w:type="dxa" w:w="3331"/>
            <w:vAlign w:val="center"/>
            <w:shd w:fill="F1F5F9"/>
          </w:tcPr>
          <w:p>
            <w:pPr>
              <w:spacing w:after="20"/>
            </w:pPr>
            <w:r/>
            <w:r>
              <w:rPr>
                <w:rFonts w:ascii="Aptos" w:hAnsi="Aptos"/>
                <w:b w:val="0"/>
                <w:sz w:val="16"/>
              </w:rPr>
              <w:t>Count failed conversions and inspect examples before proceeding.</w:t>
            </w:r>
          </w:p>
        </w:tc>
      </w:tr>
      <w:tr>
        <w:tc>
          <w:tcPr>
            <w:tcW w:type="dxa" w:w="3331"/>
            <w:vAlign w:val="center"/>
          </w:tcPr>
          <w:p>
            <w:pPr>
              <w:spacing w:after="20"/>
            </w:pPr>
            <w:r/>
            <w:r>
              <w:rPr>
                <w:rFonts w:ascii="Aptos" w:hAnsi="Aptos"/>
                <w:b w:val="0"/>
                <w:sz w:val="16"/>
              </w:rPr>
              <w:t>5. Remove duplicates</w:t>
            </w:r>
          </w:p>
        </w:tc>
        <w:tc>
          <w:tcPr>
            <w:tcW w:type="dxa" w:w="3331"/>
            <w:vAlign w:val="center"/>
          </w:tcPr>
          <w:p>
            <w:pPr>
              <w:spacing w:after="20"/>
            </w:pPr>
            <w:r/>
            <w:r>
              <w:rPr>
                <w:rFonts w:ascii="Aptos" w:hAnsi="Aptos"/>
                <w:b w:val="0"/>
                <w:sz w:val="16"/>
              </w:rPr>
              <w:t>Identify exact duplicates and duplicates based on documented business keys.</w:t>
            </w:r>
          </w:p>
        </w:tc>
        <w:tc>
          <w:tcPr>
            <w:tcW w:type="dxa" w:w="3331"/>
            <w:vAlign w:val="center"/>
          </w:tcPr>
          <w:p>
            <w:pPr>
              <w:spacing w:after="20"/>
            </w:pPr>
            <w:r/>
            <w:r>
              <w:rPr>
                <w:rFonts w:ascii="Aptos" w:hAnsi="Aptos"/>
                <w:b w:val="0"/>
                <w:sz w:val="16"/>
              </w:rPr>
              <w:t>Investigate repeated records; do not drop legitimate repeated transactions blindly.</w:t>
            </w:r>
          </w:p>
        </w:tc>
      </w:tr>
      <w:tr>
        <w:tc>
          <w:tcPr>
            <w:tcW w:type="dxa" w:w="3331"/>
            <w:vAlign w:val="center"/>
            <w:shd w:fill="F1F5F9"/>
          </w:tcPr>
          <w:p>
            <w:pPr>
              <w:spacing w:after="20"/>
            </w:pPr>
            <w:r/>
            <w:r>
              <w:rPr>
                <w:rFonts w:ascii="Aptos" w:hAnsi="Aptos"/>
                <w:b w:val="0"/>
                <w:sz w:val="16"/>
              </w:rPr>
              <w:t>6. Handle missingness</w:t>
            </w:r>
          </w:p>
        </w:tc>
        <w:tc>
          <w:tcPr>
            <w:tcW w:type="dxa" w:w="3331"/>
            <w:vAlign w:val="center"/>
            <w:shd w:fill="F1F5F9"/>
          </w:tcPr>
          <w:p>
            <w:pPr>
              <w:spacing w:after="20"/>
            </w:pPr>
            <w:r/>
            <w:r>
              <w:rPr>
                <w:rFonts w:ascii="Aptos" w:hAnsi="Aptos"/>
                <w:b w:val="0"/>
                <w:sz w:val="16"/>
              </w:rPr>
              <w:t>Report missing percentages; drop, retain, or impute based on variable role and missingness mechanism.</w:t>
            </w:r>
          </w:p>
        </w:tc>
        <w:tc>
          <w:tcPr>
            <w:tcW w:type="dxa" w:w="3331"/>
            <w:vAlign w:val="center"/>
            <w:shd w:fill="F1F5F9"/>
          </w:tcPr>
          <w:p>
            <w:pPr>
              <w:spacing w:after="20"/>
            </w:pPr>
            <w:r/>
            <w:r>
              <w:rPr>
                <w:rFonts w:ascii="Aptos" w:hAnsi="Aptos"/>
                <w:b w:val="0"/>
                <w:sz w:val="16"/>
              </w:rPr>
              <w:t>Document rationale; avoid imputation where it would distort official counts or rates.</w:t>
            </w:r>
          </w:p>
        </w:tc>
      </w:tr>
      <w:tr>
        <w:tc>
          <w:tcPr>
            <w:tcW w:type="dxa" w:w="3331"/>
            <w:vAlign w:val="center"/>
          </w:tcPr>
          <w:p>
            <w:pPr>
              <w:spacing w:after="20"/>
            </w:pPr>
            <w:r/>
            <w:r>
              <w:rPr>
                <w:rFonts w:ascii="Aptos" w:hAnsi="Aptos"/>
                <w:b w:val="0"/>
                <w:sz w:val="16"/>
              </w:rPr>
              <w:t>7. Standardize categories</w:t>
            </w:r>
          </w:p>
        </w:tc>
        <w:tc>
          <w:tcPr>
            <w:tcW w:type="dxa" w:w="3331"/>
            <w:vAlign w:val="center"/>
          </w:tcPr>
          <w:p>
            <w:pPr>
              <w:spacing w:after="20"/>
            </w:pPr>
            <w:r/>
            <w:r>
              <w:rPr>
                <w:rFonts w:ascii="Aptos" w:hAnsi="Aptos"/>
                <w:b w:val="0"/>
                <w:sz w:val="16"/>
              </w:rPr>
              <w:t>Trim strings and map known aliases to a canonical label.</w:t>
            </w:r>
          </w:p>
        </w:tc>
        <w:tc>
          <w:tcPr>
            <w:tcW w:type="dxa" w:w="3331"/>
            <w:vAlign w:val="center"/>
          </w:tcPr>
          <w:p>
            <w:pPr>
              <w:spacing w:after="20"/>
            </w:pPr>
            <w:r/>
            <w:r>
              <w:rPr>
                <w:rFonts w:ascii="Aptos" w:hAnsi="Aptos"/>
                <w:b w:val="0"/>
                <w:sz w:val="16"/>
              </w:rPr>
              <w:t>Use an explicit mapping table and review unmapped values.</w:t>
            </w:r>
          </w:p>
        </w:tc>
      </w:tr>
      <w:tr>
        <w:tc>
          <w:tcPr>
            <w:tcW w:type="dxa" w:w="3331"/>
            <w:vAlign w:val="center"/>
            <w:shd w:fill="F1F5F9"/>
          </w:tcPr>
          <w:p>
            <w:pPr>
              <w:spacing w:after="20"/>
            </w:pPr>
            <w:r/>
            <w:r>
              <w:rPr>
                <w:rFonts w:ascii="Aptos" w:hAnsi="Aptos"/>
                <w:b w:val="0"/>
                <w:sz w:val="16"/>
              </w:rPr>
              <w:t>8. Validate ranges and logic</w:t>
            </w:r>
          </w:p>
        </w:tc>
        <w:tc>
          <w:tcPr>
            <w:tcW w:type="dxa" w:w="3331"/>
            <w:vAlign w:val="center"/>
            <w:shd w:fill="F1F5F9"/>
          </w:tcPr>
          <w:p>
            <w:pPr>
              <w:spacing w:after="20"/>
            </w:pPr>
            <w:r/>
            <w:r>
              <w:rPr>
                <w:rFonts w:ascii="Aptos" w:hAnsi="Aptos"/>
                <w:b w:val="0"/>
                <w:sz w:val="16"/>
              </w:rPr>
              <w:t>Check valid dates, nonnegative counts, percentages in 0–100, and relationships between fields.</w:t>
            </w:r>
          </w:p>
        </w:tc>
        <w:tc>
          <w:tcPr>
            <w:tcW w:type="dxa" w:w="3331"/>
            <w:vAlign w:val="center"/>
            <w:shd w:fill="F1F5F9"/>
          </w:tcPr>
          <w:p>
            <w:pPr>
              <w:spacing w:after="20"/>
            </w:pPr>
            <w:r/>
            <w:r>
              <w:rPr>
                <w:rFonts w:ascii="Aptos" w:hAnsi="Aptos"/>
                <w:b w:val="0"/>
                <w:sz w:val="16"/>
              </w:rPr>
              <w:t>Flag violations for review; do not silently clip or delete.</w:t>
            </w:r>
          </w:p>
        </w:tc>
      </w:tr>
      <w:tr>
        <w:tc>
          <w:tcPr>
            <w:tcW w:type="dxa" w:w="3331"/>
            <w:vAlign w:val="center"/>
          </w:tcPr>
          <w:p>
            <w:pPr>
              <w:spacing w:after="20"/>
            </w:pPr>
            <w:r/>
            <w:r>
              <w:rPr>
                <w:rFonts w:ascii="Aptos" w:hAnsi="Aptos"/>
                <w:b w:val="0"/>
                <w:sz w:val="16"/>
              </w:rPr>
              <w:t>9. Treat outliers</w:t>
            </w:r>
          </w:p>
        </w:tc>
        <w:tc>
          <w:tcPr>
            <w:tcW w:type="dxa" w:w="3331"/>
            <w:vAlign w:val="center"/>
          </w:tcPr>
          <w:p>
            <w:pPr>
              <w:spacing w:after="20"/>
            </w:pPr>
            <w:r/>
            <w:r>
              <w:rPr>
                <w:rFonts w:ascii="Aptos" w:hAnsi="Aptos"/>
                <w:b w:val="0"/>
                <w:sz w:val="16"/>
              </w:rPr>
              <w:t>Use IQR/z-score as diagnostic flags where appropriate.</w:t>
            </w:r>
          </w:p>
        </w:tc>
        <w:tc>
          <w:tcPr>
            <w:tcW w:type="dxa" w:w="3331"/>
            <w:vAlign w:val="center"/>
          </w:tcPr>
          <w:p>
            <w:pPr>
              <w:spacing w:after="20"/>
            </w:pPr>
            <w:r/>
            <w:r>
              <w:rPr>
                <w:rFonts w:ascii="Aptos" w:hAnsi="Aptos"/>
                <w:b w:val="0"/>
                <w:sz w:val="16"/>
              </w:rPr>
              <w:t>Outliers may represent real events; investigate before excluding or transforming.</w:t>
            </w:r>
          </w:p>
        </w:tc>
      </w:tr>
      <w:tr>
        <w:tc>
          <w:tcPr>
            <w:tcW w:type="dxa" w:w="3331"/>
            <w:vAlign w:val="center"/>
            <w:shd w:fill="F1F5F9"/>
          </w:tcPr>
          <w:p>
            <w:pPr>
              <w:spacing w:after="20"/>
            </w:pPr>
            <w:r/>
            <w:r>
              <w:rPr>
                <w:rFonts w:ascii="Aptos" w:hAnsi="Aptos"/>
                <w:b w:val="0"/>
                <w:sz w:val="16"/>
              </w:rPr>
              <w:t>10. Normalize/scale if needed</w:t>
            </w:r>
          </w:p>
        </w:tc>
        <w:tc>
          <w:tcPr>
            <w:tcW w:type="dxa" w:w="3331"/>
            <w:vAlign w:val="center"/>
            <w:shd w:fill="F1F5F9"/>
          </w:tcPr>
          <w:p>
            <w:pPr>
              <w:spacing w:after="20"/>
            </w:pPr>
            <w:r/>
            <w:r>
              <w:rPr>
                <w:rFonts w:ascii="Aptos" w:hAnsi="Aptos"/>
                <w:b w:val="0"/>
                <w:sz w:val="16"/>
              </w:rPr>
              <w:t>StandardScaler or MinMaxScaler for selected numeric features.</w:t>
            </w:r>
          </w:p>
        </w:tc>
        <w:tc>
          <w:tcPr>
            <w:tcW w:type="dxa" w:w="3331"/>
            <w:vAlign w:val="center"/>
            <w:shd w:fill="F1F5F9"/>
          </w:tcPr>
          <w:p>
            <w:pPr>
              <w:spacing w:after="20"/>
            </w:pPr>
            <w:r/>
            <w:r>
              <w:rPr>
                <w:rFonts w:ascii="Aptos" w:hAnsi="Aptos"/>
                <w:b w:val="0"/>
                <w:sz w:val="16"/>
              </w:rPr>
              <w:t>Not generally necessary for descriptive statistics; preserve original units in reporting.</w:t>
            </w:r>
          </w:p>
        </w:tc>
      </w:tr>
      <w:tr>
        <w:tc>
          <w:tcPr>
            <w:tcW w:type="dxa" w:w="3331"/>
            <w:vAlign w:val="center"/>
          </w:tcPr>
          <w:p>
            <w:pPr>
              <w:spacing w:after="20"/>
            </w:pPr>
            <w:r/>
            <w:r>
              <w:rPr>
                <w:rFonts w:ascii="Aptos" w:hAnsi="Aptos"/>
                <w:b w:val="0"/>
                <w:sz w:val="16"/>
              </w:rPr>
              <w:t>11. Validate output</w:t>
            </w:r>
          </w:p>
        </w:tc>
        <w:tc>
          <w:tcPr>
            <w:tcW w:type="dxa" w:w="3331"/>
            <w:vAlign w:val="center"/>
          </w:tcPr>
          <w:p>
            <w:pPr>
              <w:spacing w:after="20"/>
            </w:pPr>
            <w:r/>
            <w:r>
              <w:rPr>
                <w:rFonts w:ascii="Aptos" w:hAnsi="Aptos"/>
                <w:b w:val="0"/>
                <w:sz w:val="16"/>
              </w:rPr>
              <w:t>Run schema, null, uniqueness, range, and row-count checks.</w:t>
            </w:r>
          </w:p>
        </w:tc>
        <w:tc>
          <w:tcPr>
            <w:tcW w:type="dxa" w:w="3331"/>
            <w:vAlign w:val="center"/>
          </w:tcPr>
          <w:p>
            <w:pPr>
              <w:spacing w:after="20"/>
            </w:pPr>
            <w:r/>
            <w:r>
              <w:rPr>
                <w:rFonts w:ascii="Aptos" w:hAnsi="Aptos"/>
                <w:b w:val="0"/>
                <w:sz w:val="16"/>
              </w:rPr>
              <w:t>Export only when critical checks pass or warnings are documented.</w:t>
            </w:r>
          </w:p>
        </w:tc>
      </w:tr>
      <w:tr>
        <w:tc>
          <w:tcPr>
            <w:tcW w:type="dxa" w:w="3331"/>
            <w:vAlign w:val="center"/>
            <w:shd w:fill="F1F5F9"/>
          </w:tcPr>
          <w:p>
            <w:pPr>
              <w:spacing w:after="20"/>
            </w:pPr>
            <w:r/>
            <w:r>
              <w:rPr>
                <w:rFonts w:ascii="Aptos" w:hAnsi="Aptos"/>
                <w:b w:val="0"/>
                <w:sz w:val="16"/>
              </w:rPr>
              <w:t>12. Export and log</w:t>
            </w:r>
          </w:p>
        </w:tc>
        <w:tc>
          <w:tcPr>
            <w:tcW w:type="dxa" w:w="3331"/>
            <w:vAlign w:val="center"/>
            <w:shd w:fill="F1F5F9"/>
          </w:tcPr>
          <w:p>
            <w:pPr>
              <w:spacing w:after="20"/>
            </w:pPr>
            <w:r/>
            <w:r>
              <w:rPr>
                <w:rFonts w:ascii="Aptos" w:hAnsi="Aptos"/>
                <w:b w:val="0"/>
                <w:sz w:val="16"/>
              </w:rPr>
              <w:t>Save processed data and a quality report.</w:t>
            </w:r>
          </w:p>
        </w:tc>
        <w:tc>
          <w:tcPr>
            <w:tcW w:type="dxa" w:w="3331"/>
            <w:vAlign w:val="center"/>
            <w:shd w:fill="F1F5F9"/>
          </w:tcPr>
          <w:p>
            <w:pPr>
              <w:spacing w:after="20"/>
            </w:pPr>
            <w:r/>
            <w:r>
              <w:rPr>
                <w:rFonts w:ascii="Aptos" w:hAnsi="Aptos"/>
                <w:b w:val="0"/>
                <w:sz w:val="16"/>
              </w:rPr>
              <w:t>Record output path, source version, transformations, row counts, and warnings.</w:t>
            </w:r>
          </w:p>
        </w:tc>
      </w:tr>
    </w:tbl>
    <w:p/>
    <w:p>
      <w:pPr>
        <w:pStyle w:val="Heading2"/>
      </w:pPr>
      <w:r>
        <w:t>6.3 Missing-value strategy</w:t>
      </w:r>
    </w:p>
    <w:p>
      <w:r>
        <w:t>Missing values must be handled according to meaning, not by a universal rule.</w:t>
      </w:r>
    </w:p>
    <w:p>
      <w:pPr>
        <w:pStyle w:val="ListBullet"/>
        <w:spacing w:after="40"/>
      </w:pPr>
      <w:r>
        <w:t>First quantify missingness by column and, where useful, by period or geography.</w:t>
      </w:r>
    </w:p>
    <w:p>
      <w:pPr>
        <w:pStyle w:val="ListBullet"/>
        <w:spacing w:after="40"/>
      </w:pPr>
      <w:r>
        <w:t>If a value is missing because it was not reported, retain it as missing rather than replacing it with zero.</w:t>
      </w:r>
    </w:p>
    <w:p>
      <w:pPr>
        <w:pStyle w:val="ListBullet"/>
        <w:spacing w:after="40"/>
      </w:pPr>
      <w:r>
        <w:t>For official transaction counts and rates, avoid arbitrary imputation; seek source clarification or restrict the analysis to complete comparable periods.</w:t>
      </w:r>
    </w:p>
    <w:p>
      <w:pPr>
        <w:pStyle w:val="ListBullet"/>
        <w:spacing w:after="40"/>
      </w:pPr>
      <w:r>
        <w:t>For contextual numeric features in a later model, median imputation may be considered after checking the distribution and documenting the choice.</w:t>
      </w:r>
    </w:p>
    <w:p>
      <w:pPr>
        <w:pStyle w:val="ListBullet"/>
        <w:spacing w:after="40"/>
      </w:pPr>
      <w:r>
        <w:t>For categorical fields, use an explicit 'Unknown/Not reported' category only when analytically meaningful.</w:t>
      </w:r>
    </w:p>
    <w:p>
      <w:pPr>
        <w:pStyle w:val="ListBullet"/>
        <w:spacing w:after="40"/>
      </w:pPr>
      <w:r>
        <w:t>Compare results with and without a proposed imputation if it could materially change conclusions.</w:t>
      </w:r>
    </w:p>
    <w:p>
      <w:pPr>
        <w:pStyle w:val="Heading2"/>
      </w:pPr>
      <w:r>
        <w:t>6.4 Normalization and transformation</w:t>
      </w:r>
    </w:p>
    <w:p>
      <w:r>
        <w:t>The word normalization can refer to standardizing text/categories, converting units, or scaling numeric features. These operations should be distinguished. Text normalization may trim spaces and standardize case; unit conversion should use a documented conversion; numeric feature scaling is only needed for methods sensitive to feature scale. For example, StandardScaler centers values around a mean and scales by standard deviation, while MinMaxScaler maps values to a chosen range. Neither should replace original reported values in the official clean dataset; scaled features should be stored separately for a specific analysis.</w:t>
      </w:r>
    </w:p>
    <w:p>
      <w:pPr>
        <w:pStyle w:val="Heading1"/>
      </w:pPr>
      <w:r>
        <w:t>7. Data Quality Risks and Verification</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pPr>
            <w:r/>
            <w:r>
              <w:rPr>
                <w:rFonts w:ascii="Aptos" w:hAnsi="Aptos"/>
                <w:b/>
                <w:color w:val="FFFFFF"/>
                <w:sz w:val="17"/>
              </w:rPr>
              <w:t>Quality risk</w:t>
            </w:r>
          </w:p>
        </w:tc>
        <w:tc>
          <w:tcPr>
            <w:tcW w:type="dxa" w:w="3331"/>
            <w:vAlign w:val="center"/>
            <w:shd w:fill="17365D"/>
          </w:tcPr>
          <w:p>
            <w:pPr>
              <w:spacing w:after="20"/>
            </w:pPr>
            <w:r/>
            <w:r>
              <w:rPr>
                <w:rFonts w:ascii="Aptos" w:hAnsi="Aptos"/>
                <w:b/>
                <w:color w:val="FFFFFF"/>
                <w:sz w:val="17"/>
              </w:rPr>
              <w:t>Detection / verification</w:t>
            </w:r>
          </w:p>
        </w:tc>
        <w:tc>
          <w:tcPr>
            <w:tcW w:type="dxa" w:w="3331"/>
            <w:vAlign w:val="center"/>
            <w:shd w:fill="17365D"/>
          </w:tcPr>
          <w:p>
            <w:pPr>
              <w:spacing w:after="20"/>
            </w:pPr>
            <w:r/>
            <w:r>
              <w:rPr>
                <w:rFonts w:ascii="Aptos" w:hAnsi="Aptos"/>
                <w:b/>
                <w:color w:val="FFFFFF"/>
                <w:sz w:val="17"/>
              </w:rPr>
              <w:t>Response</w:t>
            </w:r>
          </w:p>
        </w:tc>
      </w:tr>
      <w:tr>
        <w:tc>
          <w:tcPr>
            <w:tcW w:type="dxa" w:w="3331"/>
            <w:vAlign w:val="center"/>
          </w:tcPr>
          <w:p>
            <w:pPr>
              <w:spacing w:after="20"/>
            </w:pPr>
            <w:r/>
            <w:r>
              <w:rPr>
                <w:rFonts w:ascii="Aptos" w:hAnsi="Aptos"/>
                <w:b w:val="0"/>
                <w:sz w:val="16"/>
              </w:rPr>
              <w:t>Missing fields or periods</w:t>
            </w:r>
          </w:p>
        </w:tc>
        <w:tc>
          <w:tcPr>
            <w:tcW w:type="dxa" w:w="3331"/>
            <w:vAlign w:val="center"/>
          </w:tcPr>
          <w:p>
            <w:pPr>
              <w:spacing w:after="20"/>
            </w:pPr>
            <w:r/>
            <w:r>
              <w:rPr>
                <w:rFonts w:ascii="Aptos" w:hAnsi="Aptos"/>
                <w:b w:val="0"/>
                <w:sz w:val="16"/>
              </w:rPr>
              <w:t>Null counts, missingness percentages, coverage matrix by time and geography.</w:t>
            </w:r>
          </w:p>
        </w:tc>
        <w:tc>
          <w:tcPr>
            <w:tcW w:type="dxa" w:w="3331"/>
            <w:vAlign w:val="center"/>
          </w:tcPr>
          <w:p>
            <w:pPr>
              <w:spacing w:after="20"/>
            </w:pPr>
            <w:r/>
            <w:r>
              <w:rPr>
                <w:rFonts w:ascii="Aptos" w:hAnsi="Aptos"/>
                <w:b w:val="0"/>
                <w:sz w:val="16"/>
              </w:rPr>
              <w:t>Document gaps; request clarification or narrow scope.</w:t>
            </w:r>
          </w:p>
        </w:tc>
      </w:tr>
      <w:tr>
        <w:tc>
          <w:tcPr>
            <w:tcW w:type="dxa" w:w="3331"/>
            <w:vAlign w:val="center"/>
            <w:shd w:fill="F1F5F9"/>
          </w:tcPr>
          <w:p>
            <w:pPr>
              <w:spacing w:after="20"/>
            </w:pPr>
            <w:r/>
            <w:r>
              <w:rPr>
                <w:rFonts w:ascii="Aptos" w:hAnsi="Aptos"/>
                <w:b w:val="0"/>
                <w:sz w:val="16"/>
              </w:rPr>
              <w:t>Duplicate records</w:t>
            </w:r>
          </w:p>
        </w:tc>
        <w:tc>
          <w:tcPr>
            <w:tcW w:type="dxa" w:w="3331"/>
            <w:vAlign w:val="center"/>
            <w:shd w:fill="F1F5F9"/>
          </w:tcPr>
          <w:p>
            <w:pPr>
              <w:spacing w:after="20"/>
            </w:pPr>
            <w:r/>
            <w:r>
              <w:rPr>
                <w:rFonts w:ascii="Aptos" w:hAnsi="Aptos"/>
                <w:b w:val="0"/>
                <w:sz w:val="16"/>
              </w:rPr>
              <w:t>Exact duplicate check and key-based duplicate report.</w:t>
            </w:r>
          </w:p>
        </w:tc>
        <w:tc>
          <w:tcPr>
            <w:tcW w:type="dxa" w:w="3331"/>
            <w:vAlign w:val="center"/>
            <w:shd w:fill="F1F5F9"/>
          </w:tcPr>
          <w:p>
            <w:pPr>
              <w:spacing w:after="20"/>
            </w:pPr>
            <w:r/>
            <w:r>
              <w:rPr>
                <w:rFonts w:ascii="Aptos" w:hAnsi="Aptos"/>
                <w:b w:val="0"/>
                <w:sz w:val="16"/>
              </w:rPr>
              <w:t>Inspect duplicates and remove only when clearly redundant.</w:t>
            </w:r>
          </w:p>
        </w:tc>
      </w:tr>
      <w:tr>
        <w:tc>
          <w:tcPr>
            <w:tcW w:type="dxa" w:w="3331"/>
            <w:vAlign w:val="center"/>
          </w:tcPr>
          <w:p>
            <w:pPr>
              <w:spacing w:after="20"/>
            </w:pPr>
            <w:r/>
            <w:r>
              <w:rPr>
                <w:rFonts w:ascii="Aptos" w:hAnsi="Aptos"/>
                <w:b w:val="0"/>
                <w:sz w:val="16"/>
              </w:rPr>
              <w:t>Invalid numeric values</w:t>
            </w:r>
          </w:p>
        </w:tc>
        <w:tc>
          <w:tcPr>
            <w:tcW w:type="dxa" w:w="3331"/>
            <w:vAlign w:val="center"/>
          </w:tcPr>
          <w:p>
            <w:pPr>
              <w:spacing w:after="20"/>
            </w:pPr>
            <w:r/>
            <w:r>
              <w:rPr>
                <w:rFonts w:ascii="Aptos" w:hAnsi="Aptos"/>
                <w:b w:val="0"/>
                <w:sz w:val="16"/>
              </w:rPr>
              <w:t>Type conversion failures, range checks, nonnegative count checks.</w:t>
            </w:r>
          </w:p>
        </w:tc>
        <w:tc>
          <w:tcPr>
            <w:tcW w:type="dxa" w:w="3331"/>
            <w:vAlign w:val="center"/>
          </w:tcPr>
          <w:p>
            <w:pPr>
              <w:spacing w:after="20"/>
            </w:pPr>
            <w:r/>
            <w:r>
              <w:rPr>
                <w:rFonts w:ascii="Aptos" w:hAnsi="Aptos"/>
                <w:b w:val="0"/>
                <w:sz w:val="16"/>
              </w:rPr>
              <w:t>Trace back to source; correct only with evidence or flag/exclude transparently.</w:t>
            </w:r>
          </w:p>
        </w:tc>
      </w:tr>
      <w:tr>
        <w:tc>
          <w:tcPr>
            <w:tcW w:type="dxa" w:w="3331"/>
            <w:vAlign w:val="center"/>
            <w:shd w:fill="F1F5F9"/>
          </w:tcPr>
          <w:p>
            <w:pPr>
              <w:spacing w:after="20"/>
            </w:pPr>
            <w:r/>
            <w:r>
              <w:rPr>
                <w:rFonts w:ascii="Aptos" w:hAnsi="Aptos"/>
                <w:b w:val="0"/>
                <w:sz w:val="16"/>
              </w:rPr>
              <w:t>Inconsistent labels</w:t>
            </w:r>
          </w:p>
        </w:tc>
        <w:tc>
          <w:tcPr>
            <w:tcW w:type="dxa" w:w="3331"/>
            <w:vAlign w:val="center"/>
            <w:shd w:fill="F1F5F9"/>
          </w:tcPr>
          <w:p>
            <w:pPr>
              <w:spacing w:after="20"/>
            </w:pPr>
            <w:r/>
            <w:r>
              <w:rPr>
                <w:rFonts w:ascii="Aptos" w:hAnsi="Aptos"/>
                <w:b w:val="0"/>
                <w:sz w:val="16"/>
              </w:rPr>
              <w:t>Unique-value frequency tables and unmatched category list.</w:t>
            </w:r>
          </w:p>
        </w:tc>
        <w:tc>
          <w:tcPr>
            <w:tcW w:type="dxa" w:w="3331"/>
            <w:vAlign w:val="center"/>
            <w:shd w:fill="F1F5F9"/>
          </w:tcPr>
          <w:p>
            <w:pPr>
              <w:spacing w:after="20"/>
            </w:pPr>
            <w:r/>
            <w:r>
              <w:rPr>
                <w:rFonts w:ascii="Aptos" w:hAnsi="Aptos"/>
                <w:b w:val="0"/>
                <w:sz w:val="16"/>
              </w:rPr>
              <w:t>Use a reviewed alias-to-canonical mapping.</w:t>
            </w:r>
          </w:p>
        </w:tc>
      </w:tr>
      <w:tr>
        <w:tc>
          <w:tcPr>
            <w:tcW w:type="dxa" w:w="3331"/>
            <w:vAlign w:val="center"/>
          </w:tcPr>
          <w:p>
            <w:pPr>
              <w:spacing w:after="20"/>
            </w:pPr>
            <w:r/>
            <w:r>
              <w:rPr>
                <w:rFonts w:ascii="Aptos" w:hAnsi="Aptos"/>
                <w:b w:val="0"/>
                <w:sz w:val="16"/>
              </w:rPr>
              <w:t>Date inconsistencies</w:t>
            </w:r>
          </w:p>
        </w:tc>
        <w:tc>
          <w:tcPr>
            <w:tcW w:type="dxa" w:w="3331"/>
            <w:vAlign w:val="center"/>
          </w:tcPr>
          <w:p>
            <w:pPr>
              <w:spacing w:after="20"/>
            </w:pPr>
            <w:r/>
            <w:r>
              <w:rPr>
                <w:rFonts w:ascii="Aptos" w:hAnsi="Aptos"/>
                <w:b w:val="0"/>
                <w:sz w:val="16"/>
              </w:rPr>
              <w:t>Parse failures, period gaps, impossible future dates, mixed formats.</w:t>
            </w:r>
          </w:p>
        </w:tc>
        <w:tc>
          <w:tcPr>
            <w:tcW w:type="dxa" w:w="3331"/>
            <w:vAlign w:val="center"/>
          </w:tcPr>
          <w:p>
            <w:pPr>
              <w:spacing w:after="20"/>
            </w:pPr>
            <w:r/>
            <w:r>
              <w:rPr>
                <w:rFonts w:ascii="Aptos" w:hAnsi="Aptos"/>
                <w:b w:val="0"/>
                <w:sz w:val="16"/>
              </w:rPr>
              <w:t>Preserve source date and add standardized date column; investigate failures.</w:t>
            </w:r>
          </w:p>
        </w:tc>
      </w:tr>
      <w:tr>
        <w:tc>
          <w:tcPr>
            <w:tcW w:type="dxa" w:w="3331"/>
            <w:vAlign w:val="center"/>
            <w:shd w:fill="F1F5F9"/>
          </w:tcPr>
          <w:p>
            <w:pPr>
              <w:spacing w:after="20"/>
            </w:pPr>
            <w:r/>
            <w:r>
              <w:rPr>
                <w:rFonts w:ascii="Aptos" w:hAnsi="Aptos"/>
                <w:b w:val="0"/>
                <w:sz w:val="16"/>
              </w:rPr>
              <w:t>Unit/definition changes</w:t>
            </w:r>
          </w:p>
        </w:tc>
        <w:tc>
          <w:tcPr>
            <w:tcW w:type="dxa" w:w="3331"/>
            <w:vAlign w:val="center"/>
            <w:shd w:fill="F1F5F9"/>
          </w:tcPr>
          <w:p>
            <w:pPr>
              <w:spacing w:after="20"/>
            </w:pPr>
            <w:r/>
            <w:r>
              <w:rPr>
                <w:rFonts w:ascii="Aptos" w:hAnsi="Aptos"/>
                <w:b w:val="0"/>
                <w:sz w:val="16"/>
              </w:rPr>
              <w:t>Compare metadata and documentation across releases.</w:t>
            </w:r>
          </w:p>
        </w:tc>
        <w:tc>
          <w:tcPr>
            <w:tcW w:type="dxa" w:w="3331"/>
            <w:vAlign w:val="center"/>
            <w:shd w:fill="F1F5F9"/>
          </w:tcPr>
          <w:p>
            <w:pPr>
              <w:spacing w:after="20"/>
            </w:pPr>
            <w:r/>
            <w:r>
              <w:rPr>
                <w:rFonts w:ascii="Aptos" w:hAnsi="Aptos"/>
                <w:b w:val="0"/>
                <w:sz w:val="16"/>
              </w:rPr>
              <w:t>Separate series or harmonize only with a defensible conversion.</w:t>
            </w:r>
          </w:p>
        </w:tc>
      </w:tr>
      <w:tr>
        <w:tc>
          <w:tcPr>
            <w:tcW w:type="dxa" w:w="3331"/>
            <w:vAlign w:val="center"/>
          </w:tcPr>
          <w:p>
            <w:pPr>
              <w:spacing w:after="20"/>
            </w:pPr>
            <w:r/>
            <w:r>
              <w:rPr>
                <w:rFonts w:ascii="Aptos" w:hAnsi="Aptos"/>
                <w:b w:val="0"/>
                <w:sz w:val="16"/>
              </w:rPr>
              <w:t>Outliers</w:t>
            </w:r>
          </w:p>
        </w:tc>
        <w:tc>
          <w:tcPr>
            <w:tcW w:type="dxa" w:w="3331"/>
            <w:vAlign w:val="center"/>
          </w:tcPr>
          <w:p>
            <w:pPr>
              <w:spacing w:after="20"/>
            </w:pPr>
            <w:r/>
            <w:r>
              <w:rPr>
                <w:rFonts w:ascii="Aptos" w:hAnsi="Aptos"/>
                <w:b w:val="0"/>
                <w:sz w:val="16"/>
              </w:rPr>
              <w:t>Histograms, boxplots, IQR flags, comparison to source reports.</w:t>
            </w:r>
          </w:p>
        </w:tc>
        <w:tc>
          <w:tcPr>
            <w:tcW w:type="dxa" w:w="3331"/>
            <w:vAlign w:val="center"/>
          </w:tcPr>
          <w:p>
            <w:pPr>
              <w:spacing w:after="20"/>
            </w:pPr>
            <w:r/>
            <w:r>
              <w:rPr>
                <w:rFonts w:ascii="Aptos" w:hAnsi="Aptos"/>
                <w:b w:val="0"/>
                <w:sz w:val="16"/>
              </w:rPr>
              <w:t>Investigate; retain valid extreme values.</w:t>
            </w:r>
          </w:p>
        </w:tc>
      </w:tr>
      <w:tr>
        <w:tc>
          <w:tcPr>
            <w:tcW w:type="dxa" w:w="3331"/>
            <w:vAlign w:val="center"/>
            <w:shd w:fill="F1F5F9"/>
          </w:tcPr>
          <w:p>
            <w:pPr>
              <w:spacing w:after="20"/>
            </w:pPr>
            <w:r/>
            <w:r>
              <w:rPr>
                <w:rFonts w:ascii="Aptos" w:hAnsi="Aptos"/>
                <w:b w:val="0"/>
                <w:sz w:val="16"/>
              </w:rPr>
              <w:t>API/source changes</w:t>
            </w:r>
          </w:p>
        </w:tc>
        <w:tc>
          <w:tcPr>
            <w:tcW w:type="dxa" w:w="3331"/>
            <w:vAlign w:val="center"/>
            <w:shd w:fill="F1F5F9"/>
          </w:tcPr>
          <w:p>
            <w:pPr>
              <w:spacing w:after="20"/>
            </w:pPr>
            <w:r/>
            <w:r>
              <w:rPr>
                <w:rFonts w:ascii="Aptos" w:hAnsi="Aptos"/>
                <w:b w:val="0"/>
                <w:sz w:val="16"/>
              </w:rPr>
              <w:t>Schema comparison, status/error logs, expected column checks.</w:t>
            </w:r>
          </w:p>
        </w:tc>
        <w:tc>
          <w:tcPr>
            <w:tcW w:type="dxa" w:w="3331"/>
            <w:vAlign w:val="center"/>
            <w:shd w:fill="F1F5F9"/>
          </w:tcPr>
          <w:p>
            <w:pPr>
              <w:spacing w:after="20"/>
            </w:pPr>
            <w:r/>
            <w:r>
              <w:rPr>
                <w:rFonts w:ascii="Aptos" w:hAnsi="Aptos"/>
                <w:b w:val="0"/>
                <w:sz w:val="16"/>
              </w:rPr>
              <w:t>Stop pipeline on critical schema changes and review before continuing.</w:t>
            </w:r>
          </w:p>
        </w:tc>
      </w:tr>
      <w:tr>
        <w:tc>
          <w:tcPr>
            <w:tcW w:type="dxa" w:w="3331"/>
            <w:vAlign w:val="center"/>
          </w:tcPr>
          <w:p>
            <w:pPr>
              <w:spacing w:after="20"/>
            </w:pPr>
            <w:r/>
            <w:r>
              <w:rPr>
                <w:rFonts w:ascii="Aptos" w:hAnsi="Aptos"/>
                <w:b w:val="0"/>
                <w:sz w:val="16"/>
              </w:rPr>
              <w:t>Misleading joins</w:t>
            </w:r>
          </w:p>
        </w:tc>
        <w:tc>
          <w:tcPr>
            <w:tcW w:type="dxa" w:w="3331"/>
            <w:vAlign w:val="center"/>
          </w:tcPr>
          <w:p>
            <w:pPr>
              <w:spacing w:after="20"/>
            </w:pPr>
            <w:r/>
            <w:r>
              <w:rPr>
                <w:rFonts w:ascii="Aptos" w:hAnsi="Aptos"/>
                <w:b w:val="0"/>
                <w:sz w:val="16"/>
              </w:rPr>
              <w:t>Check key uniqueness, unmatched keys, row counts before/after merge.</w:t>
            </w:r>
          </w:p>
        </w:tc>
        <w:tc>
          <w:tcPr>
            <w:tcW w:type="dxa" w:w="3331"/>
            <w:vAlign w:val="center"/>
          </w:tcPr>
          <w:p>
            <w:pPr>
              <w:spacing w:after="20"/>
            </w:pPr>
            <w:r/>
            <w:r>
              <w:rPr>
                <w:rFonts w:ascii="Aptos" w:hAnsi="Aptos"/>
                <w:b w:val="0"/>
                <w:sz w:val="16"/>
              </w:rPr>
              <w:t>Document join keys and cardinality; investigate unexpected row multiplication.</w:t>
            </w:r>
          </w:p>
        </w:tc>
      </w:tr>
      <w:tr>
        <w:tc>
          <w:tcPr>
            <w:tcW w:type="dxa" w:w="3331"/>
            <w:vAlign w:val="center"/>
            <w:shd w:fill="F1F5F9"/>
          </w:tcPr>
          <w:p>
            <w:pPr>
              <w:spacing w:after="20"/>
            </w:pPr>
            <w:r/>
            <w:r>
              <w:rPr>
                <w:rFonts w:ascii="Aptos" w:hAnsi="Aptos"/>
                <w:b w:val="0"/>
                <w:sz w:val="16"/>
              </w:rPr>
              <w:t>File corruption or accidental changes</w:t>
            </w:r>
          </w:p>
        </w:tc>
        <w:tc>
          <w:tcPr>
            <w:tcW w:type="dxa" w:w="3331"/>
            <w:vAlign w:val="center"/>
            <w:shd w:fill="F1F5F9"/>
          </w:tcPr>
          <w:p>
            <w:pPr>
              <w:spacing w:after="20"/>
            </w:pPr>
            <w:r/>
            <w:r>
              <w:rPr>
                <w:rFonts w:ascii="Aptos" w:hAnsi="Aptos"/>
                <w:b w:val="0"/>
                <w:sz w:val="16"/>
              </w:rPr>
              <w:t>File size, checksum where used, read test, raw-file protection.</w:t>
            </w:r>
          </w:p>
        </w:tc>
        <w:tc>
          <w:tcPr>
            <w:tcW w:type="dxa" w:w="3331"/>
            <w:vAlign w:val="center"/>
            <w:shd w:fill="F1F5F9"/>
          </w:tcPr>
          <w:p>
            <w:pPr>
              <w:spacing w:after="20"/>
            </w:pPr>
            <w:r/>
            <w:r>
              <w:rPr>
                <w:rFonts w:ascii="Aptos" w:hAnsi="Aptos"/>
                <w:b w:val="0"/>
                <w:sz w:val="16"/>
              </w:rPr>
              <w:t>Re-download from source and preserve the previous version.</w:t>
            </w:r>
          </w:p>
        </w:tc>
      </w:tr>
    </w:tbl>
    <w:p/>
    <w:p>
      <w:pPr>
        <w:pStyle w:val="Heading2"/>
      </w:pPr>
      <w:r>
        <w:t>7.1 Acceptance checks for analysis-ready data</w:t>
      </w:r>
    </w:p>
    <w:p>
      <w:pPr>
        <w:pStyle w:val="ListBullet"/>
        <w:spacing w:after="40"/>
      </w:pPr>
      <w:r>
        <w:t>Source and access date are documented.</w:t>
      </w:r>
    </w:p>
    <w:p>
      <w:pPr>
        <w:pStyle w:val="ListBullet"/>
        <w:spacing w:after="40"/>
      </w:pPr>
      <w:r>
        <w:t>Column names and data types match the data dictionary.</w:t>
      </w:r>
    </w:p>
    <w:p>
      <w:pPr>
        <w:pStyle w:val="ListBullet"/>
        <w:spacing w:after="40"/>
      </w:pPr>
      <w:r>
        <w:t>Critical identifier fields are present and behave as expected.</w:t>
      </w:r>
    </w:p>
    <w:p>
      <w:pPr>
        <w:pStyle w:val="ListBullet"/>
        <w:spacing w:after="40"/>
      </w:pPr>
      <w:r>
        <w:t>Missingness and duplicates are quantified and explained.</w:t>
      </w:r>
    </w:p>
    <w:p>
      <w:pPr>
        <w:pStyle w:val="ListBullet"/>
        <w:spacing w:after="40"/>
      </w:pPr>
      <w:r>
        <w:t>Key numeric ranges and logical relationships pass validation or have documented exceptions.</w:t>
      </w:r>
    </w:p>
    <w:p>
      <w:pPr>
        <w:pStyle w:val="ListBullet"/>
        <w:spacing w:after="40"/>
      </w:pPr>
      <w:r>
        <w:t>Date periods, units, geography, and denominator definitions are clear.</w:t>
      </w:r>
    </w:p>
    <w:p>
      <w:pPr>
        <w:pStyle w:val="ListBullet"/>
        <w:spacing w:after="40"/>
      </w:pPr>
      <w:r>
        <w:t>No personal or restricted data are included in the deliverable.</w:t>
      </w:r>
    </w:p>
    <w:p>
      <w:pPr>
        <w:pStyle w:val="ListBullet"/>
        <w:spacing w:after="40"/>
      </w:pPr>
      <w:r>
        <w:t>The processing script runs from raw data to processed output without undocumented manual steps.</w:t>
      </w:r>
    </w:p>
    <w:p>
      <w:pPr>
        <w:pStyle w:val="ListBullet"/>
        <w:spacing w:after="40"/>
      </w:pPr>
      <w:r>
        <w:t>A quality report and cleaning log are saved alongside the processed dataset.</w:t>
      </w:r>
    </w:p>
    <w:p>
      <w:pPr>
        <w:pStyle w:val="Heading1"/>
      </w:pPr>
      <w:r>
        <w:t>8. End-to-End Workflow</w:t>
      </w:r>
    </w:p>
    <w:p>
      <w:r>
        <w:rPr>
          <w:b/>
          <w:color w:val="007C91"/>
        </w:rPr>
        <w:t>Research question → Source discovery → Metadata/licence review → Data acquisition → Raw storage → Profiling → Cleaning and transformation → Validation → Processed storage → Quality report → Ready for exploratory analysis</w:t>
      </w:r>
    </w:p>
    <w:p>
      <w:r>
        <w:t>A failed critical validation should stop the pipeline or produce a clearly labelled warning. The process should not silently continue with corrupted or incomparable data.</w:t>
      </w:r>
    </w:p>
    <w:p>
      <w:pPr>
        <w:pStyle w:val="Heading1"/>
      </w:pPr>
      <w:r>
        <w:t>9. Example Python Preprocessing Template</w:t>
      </w:r>
    </w:p>
    <w:p>
      <w:r>
        <w:t>This template illustrates the intended process. Replace the sample filename and expected columns after selecting an actual public dataset. It does not claim that any dataset has already been collected.</w:t>
      </w:r>
    </w:p>
    <w:p>
      <w:r>
        <w:rPr>
          <w:rFonts w:ascii="Consolas" w:hAnsi="Consolas"/>
          <w:sz w:val="15"/>
        </w:rPr>
        <w:t>from pathlib import Path</w:t>
        <w:br/>
        <w:t>import pandas as pd</w:t>
        <w:br/>
        <w:t>import numpy as np</w:t>
        <w:br/>
        <w:br/>
        <w:t>RAW = Path("data/raw/example_public_dataset.csv")</w:t>
        <w:br/>
        <w:t>PROCESSED_DIR = Path("data/processed")</w:t>
        <w:br/>
        <w:t>PROCESSED_DIR.mkdir(parents=True, exist_ok=True)</w:t>
        <w:br/>
        <w:br/>
        <w:t># 1. Load source data; retain the original file unchanged.</w:t>
        <w:br/>
        <w:t>df = pd.read_csv(RAW)</w:t>
        <w:br/>
        <w:br/>
        <w:t># 2. Capture basic profiling information.</w:t>
        <w:br/>
        <w:t>initial_rows = len(df)</w:t>
        <w:br/>
        <w:t>initial_columns = len(df.columns)</w:t>
        <w:br/>
        <w:t>print("Shape:", df.shape)</w:t>
        <w:br/>
        <w:t>print("Missing values by column:")</w:t>
        <w:br/>
        <w:t>print(df.isna().sum().sort_values(ascending=False))</w:t>
        <w:br/>
        <w:br/>
        <w:t># 3. Standardize column names.</w:t>
        <w:br/>
        <w:t>df.columns = (</w:t>
        <w:br/>
        <w:t xml:space="preserve">    df.columns.astype(str)</w:t>
        <w:br/>
        <w:t xml:space="preserve">    .str.strip()</w:t>
        <w:br/>
        <w:t xml:space="preserve">    .str.lower()</w:t>
        <w:br/>
        <w:t xml:space="preserve">    .str.replace(r"[^a-z0-9]+", "_", regex=True)</w:t>
        <w:br/>
        <w:t xml:space="preserve">    .str.strip("_")</w:t>
        <w:br/>
        <w:t>)</w:t>
        <w:br/>
        <w:br/>
        <w:t># 4. Normalize common missing-value tokens only when source meaning supports it.</w:t>
        <w:br/>
        <w:t>df = df.replace(["", "NA", "N/A", "Not Available"], np.nan)</w:t>
        <w:br/>
        <w:br/>
        <w:t># 5. Example type conversion: uncomment only after confirming column names.</w:t>
        <w:br/>
        <w:t># df["report_date"] = pd.to_datetime(df["report_date"], errors="coerce")</w:t>
        <w:br/>
        <w:t># df["transaction_count"] = pd.to_numeric(</w:t>
        <w:br/>
        <w:t>#     df["transaction_count"], errors="coerce"</w:t>
        <w:br/>
        <w:t># )</w:t>
        <w:br/>
        <w:br/>
        <w:t># 6. Identify duplicates before deciding whether to remove them.</w:t>
        <w:br/>
        <w:t>duplicate_count = int(df.duplicated().sum())</w:t>
        <w:br/>
        <w:t>print("Exact duplicate rows:", duplicate_count)</w:t>
        <w:br/>
        <w:br/>
        <w:t># 7. Create a basic quality report.</w:t>
        <w:br/>
        <w:t>quality = pd.DataFrame({</w:t>
        <w:br/>
        <w:t xml:space="preserve">    "column": df.columns,</w:t>
        <w:br/>
        <w:t xml:space="preserve">    "dtype": [str(t) for t in df.dtypes],</w:t>
        <w:br/>
        <w:t xml:space="preserve">    "missing_count": [int(v) for v in df.isna().sum()],</w:t>
        <w:br/>
        <w:t xml:space="preserve">    "missing_percent": [</w:t>
        <w:br/>
        <w:t xml:space="preserve">        round(float(v) * 100, 2) for v in df.isna().mean()</w:t>
        <w:br/>
        <w:t xml:space="preserve">    ],</w:t>
        <w:br/>
        <w:t xml:space="preserve">    "unique_values": [int(df[c].nunique(dropna=True)) for c in df.columns],</w:t>
        <w:br/>
        <w:t>})</w:t>
        <w:br/>
        <w:t>quality.to_csv(PROCESSED_DIR / "quality_report.csv", index=False)</w:t>
        <w:br/>
        <w:br/>
        <w:t># 8. Export only after reviewing all quality warnings.</w:t>
        <w:br/>
        <w:t># df.to_csv(PROCESSED_DIR / "cleaned_dataset.csv", index=False)</w:t>
        <w:br/>
        <w:br/>
        <w:t>print("Initial rows:", initial_rows)</w:t>
        <w:br/>
        <w:t>print("Initial columns:", initial_columns)</w:t>
        <w:br/>
        <w:t>print("Review the quality report before exporting cleaned data.")</w:t>
        <w:br/>
      </w:r>
    </w:p>
    <w:p>
      <w:pPr>
        <w:pStyle w:val="Heading1"/>
      </w:pPr>
      <w:r>
        <w:t>10. Project Structure</w:t>
      </w:r>
    </w:p>
    <w:p>
      <w:r>
        <w:rPr>
          <w:rFonts w:ascii="Consolas" w:hAnsi="Consolas"/>
          <w:sz w:val="17"/>
        </w:rPr>
        <w:t>e-governance-data-analysis/</w:t>
        <w:br/>
        <w:t>├── README.md</w:t>
        <w:br/>
        <w:t>├── requirements.txt</w:t>
        <w:br/>
        <w:t>├── metadata/</w:t>
        <w:br/>
        <w:t>│   ├── source_inventory.csv</w:t>
        <w:br/>
        <w:t>│   ├── data_dictionary.csv</w:t>
        <w:br/>
        <w:t>│   └── collection_log.csv</w:t>
        <w:br/>
        <w:t>├── data/</w:t>
        <w:br/>
        <w:t>│   ├── raw/</w:t>
        <w:br/>
        <w:t>│   ├── interim/</w:t>
        <w:br/>
        <w:t>│   └── processed/</w:t>
        <w:br/>
        <w:t>├── src/</w:t>
        <w:br/>
        <w:t>│   ├── collect_data.py</w:t>
        <w:br/>
        <w:t>│   ├── clean_data.py</w:t>
        <w:br/>
        <w:t>│   └── validate_data.py</w:t>
        <w:br/>
        <w:t>├── notebooks/</w:t>
        <w:br/>
        <w:t>│   └── 02_data_collection_preprocessing.ipynb</w:t>
        <w:br/>
        <w:t>└── outputs/</w:t>
        <w:br/>
        <w:t xml:space="preserve">    └── quality_reports/</w:t>
      </w:r>
    </w:p>
    <w:p>
      <w:pPr>
        <w:pStyle w:val="Heading1"/>
      </w:pPr>
      <w:r>
        <w:t>11. Timeline and Estimated Effort</w:t>
      </w:r>
    </w:p>
    <w:p>
      <w:r>
        <w:t>The plan totals 33 hours, within the 30–35-hour estimate in the task brief.</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7365D"/>
          </w:tcPr>
          <w:p>
            <w:pPr>
              <w:spacing w:after="20"/>
            </w:pPr>
            <w:r/>
            <w:r>
              <w:rPr>
                <w:rFonts w:ascii="Aptos" w:hAnsi="Aptos"/>
                <w:b/>
                <w:color w:val="FFFFFF"/>
                <w:sz w:val="17"/>
              </w:rPr>
              <w:t>Stage</w:t>
            </w:r>
          </w:p>
        </w:tc>
        <w:tc>
          <w:tcPr>
            <w:tcW w:type="dxa" w:w="2498"/>
            <w:vAlign w:val="center"/>
            <w:shd w:fill="17365D"/>
          </w:tcPr>
          <w:p>
            <w:pPr>
              <w:spacing w:after="20"/>
            </w:pPr>
            <w:r/>
            <w:r>
              <w:rPr>
                <w:rFonts w:ascii="Aptos" w:hAnsi="Aptos"/>
                <w:b/>
                <w:color w:val="FFFFFF"/>
                <w:sz w:val="17"/>
              </w:rPr>
              <w:t>Activities</w:t>
            </w:r>
          </w:p>
        </w:tc>
        <w:tc>
          <w:tcPr>
            <w:tcW w:type="dxa" w:w="2498"/>
            <w:vAlign w:val="center"/>
            <w:shd w:fill="17365D"/>
          </w:tcPr>
          <w:p>
            <w:pPr>
              <w:spacing w:after="20"/>
            </w:pPr>
            <w:r/>
            <w:r>
              <w:rPr>
                <w:rFonts w:ascii="Aptos" w:hAnsi="Aptos"/>
                <w:b/>
                <w:color w:val="FFFFFF"/>
                <w:sz w:val="17"/>
              </w:rPr>
              <w:t>Hours</w:t>
            </w:r>
          </w:p>
        </w:tc>
        <w:tc>
          <w:tcPr>
            <w:tcW w:type="dxa" w:w="2498"/>
            <w:vAlign w:val="center"/>
            <w:shd w:fill="17365D"/>
          </w:tcPr>
          <w:p>
            <w:pPr>
              <w:spacing w:after="20"/>
            </w:pPr>
            <w:r/>
            <w:r>
              <w:rPr>
                <w:rFonts w:ascii="Aptos" w:hAnsi="Aptos"/>
                <w:b/>
                <w:color w:val="FFFFFF"/>
                <w:sz w:val="17"/>
              </w:rPr>
              <w:t>Output / milestone</w:t>
            </w:r>
          </w:p>
        </w:tc>
      </w:tr>
      <w:tr>
        <w:tc>
          <w:tcPr>
            <w:tcW w:type="dxa" w:w="2498"/>
            <w:vAlign w:val="center"/>
          </w:tcPr>
          <w:p>
            <w:pPr>
              <w:spacing w:after="20"/>
            </w:pPr>
            <w:r/>
            <w:r>
              <w:rPr>
                <w:rFonts w:ascii="Aptos" w:hAnsi="Aptos"/>
                <w:b w:val="0"/>
                <w:sz w:val="16"/>
              </w:rPr>
              <w:t>1. Requirements and source discovery</w:t>
            </w:r>
          </w:p>
        </w:tc>
        <w:tc>
          <w:tcPr>
            <w:tcW w:type="dxa" w:w="2498"/>
            <w:vAlign w:val="center"/>
          </w:tcPr>
          <w:p>
            <w:pPr>
              <w:spacing w:after="20"/>
            </w:pPr>
            <w:r/>
            <w:r>
              <w:rPr>
                <w:rFonts w:ascii="Aptos" w:hAnsi="Aptos"/>
                <w:b w:val="0"/>
                <w:sz w:val="16"/>
              </w:rPr>
              <w:t>Map questions to indicators; search official repositories; shortlist candidate datasets.</w:t>
            </w:r>
          </w:p>
        </w:tc>
        <w:tc>
          <w:tcPr>
            <w:tcW w:type="dxa" w:w="2498"/>
            <w:vAlign w:val="center"/>
          </w:tcPr>
          <w:p>
            <w:pPr>
              <w:spacing w:after="20"/>
            </w:pPr>
            <w:r/>
            <w:r>
              <w:rPr>
                <w:rFonts w:ascii="Aptos" w:hAnsi="Aptos"/>
                <w:b w:val="0"/>
                <w:sz w:val="16"/>
              </w:rPr>
              <w:t>4</w:t>
            </w:r>
          </w:p>
        </w:tc>
        <w:tc>
          <w:tcPr>
            <w:tcW w:type="dxa" w:w="2498"/>
            <w:vAlign w:val="center"/>
          </w:tcPr>
          <w:p>
            <w:pPr>
              <w:spacing w:after="20"/>
            </w:pPr>
            <w:r/>
            <w:r>
              <w:rPr>
                <w:rFonts w:ascii="Aptos" w:hAnsi="Aptos"/>
                <w:b w:val="0"/>
                <w:sz w:val="16"/>
              </w:rPr>
              <w:t>Dataset shortlist and collection criteria.</w:t>
            </w:r>
          </w:p>
        </w:tc>
      </w:tr>
      <w:tr>
        <w:tc>
          <w:tcPr>
            <w:tcW w:type="dxa" w:w="2498"/>
            <w:vAlign w:val="center"/>
            <w:shd w:fill="F1F5F9"/>
          </w:tcPr>
          <w:p>
            <w:pPr>
              <w:spacing w:after="20"/>
            </w:pPr>
            <w:r/>
            <w:r>
              <w:rPr>
                <w:rFonts w:ascii="Aptos" w:hAnsi="Aptos"/>
                <w:b w:val="0"/>
                <w:sz w:val="16"/>
              </w:rPr>
              <w:t>2. Metadata and permission review</w:t>
            </w:r>
          </w:p>
        </w:tc>
        <w:tc>
          <w:tcPr>
            <w:tcW w:type="dxa" w:w="2498"/>
            <w:vAlign w:val="center"/>
            <w:shd w:fill="F1F5F9"/>
          </w:tcPr>
          <w:p>
            <w:pPr>
              <w:spacing w:after="20"/>
            </w:pPr>
            <w:r/>
            <w:r>
              <w:rPr>
                <w:rFonts w:ascii="Aptos" w:hAnsi="Aptos"/>
                <w:b w:val="0"/>
                <w:sz w:val="16"/>
              </w:rPr>
              <w:t>Record source URLs, dates, formats, licences, coverage, units, and limitations.</w:t>
            </w:r>
          </w:p>
        </w:tc>
        <w:tc>
          <w:tcPr>
            <w:tcW w:type="dxa" w:w="2498"/>
            <w:vAlign w:val="center"/>
            <w:shd w:fill="F1F5F9"/>
          </w:tcPr>
          <w:p>
            <w:pPr>
              <w:spacing w:after="20"/>
            </w:pPr>
            <w:r/>
            <w:r>
              <w:rPr>
                <w:rFonts w:ascii="Aptos" w:hAnsi="Aptos"/>
                <w:b w:val="0"/>
                <w:sz w:val="16"/>
              </w:rPr>
              <w:t>4</w:t>
            </w:r>
          </w:p>
        </w:tc>
        <w:tc>
          <w:tcPr>
            <w:tcW w:type="dxa" w:w="2498"/>
            <w:vAlign w:val="center"/>
            <w:shd w:fill="F1F5F9"/>
          </w:tcPr>
          <w:p>
            <w:pPr>
              <w:spacing w:after="20"/>
            </w:pPr>
            <w:r/>
            <w:r>
              <w:rPr>
                <w:rFonts w:ascii="Aptos" w:hAnsi="Aptos"/>
                <w:b w:val="0"/>
                <w:sz w:val="16"/>
              </w:rPr>
              <w:t>Source inventory and metadata checklist.</w:t>
            </w:r>
          </w:p>
        </w:tc>
      </w:tr>
      <w:tr>
        <w:tc>
          <w:tcPr>
            <w:tcW w:type="dxa" w:w="2498"/>
            <w:vAlign w:val="center"/>
          </w:tcPr>
          <w:p>
            <w:pPr>
              <w:spacing w:after="20"/>
            </w:pPr>
            <w:r/>
            <w:r>
              <w:rPr>
                <w:rFonts w:ascii="Aptos" w:hAnsi="Aptos"/>
                <w:b w:val="0"/>
                <w:sz w:val="16"/>
              </w:rPr>
              <w:t>3. Data acquisition</w:t>
            </w:r>
          </w:p>
        </w:tc>
        <w:tc>
          <w:tcPr>
            <w:tcW w:type="dxa" w:w="2498"/>
            <w:vAlign w:val="center"/>
          </w:tcPr>
          <w:p>
            <w:pPr>
              <w:spacing w:after="20"/>
            </w:pPr>
            <w:r/>
            <w:r>
              <w:rPr>
                <w:rFonts w:ascii="Aptos" w:hAnsi="Aptos"/>
                <w:b w:val="0"/>
                <w:sz w:val="16"/>
              </w:rPr>
              <w:t>Download permitted files or use documented APIs; save raw copies and logs.</w:t>
            </w:r>
          </w:p>
        </w:tc>
        <w:tc>
          <w:tcPr>
            <w:tcW w:type="dxa" w:w="2498"/>
            <w:vAlign w:val="center"/>
          </w:tcPr>
          <w:p>
            <w:pPr>
              <w:spacing w:after="20"/>
            </w:pPr>
            <w:r/>
            <w:r>
              <w:rPr>
                <w:rFonts w:ascii="Aptos" w:hAnsi="Aptos"/>
                <w:b w:val="0"/>
                <w:sz w:val="16"/>
              </w:rPr>
              <w:t>5</w:t>
            </w:r>
          </w:p>
        </w:tc>
        <w:tc>
          <w:tcPr>
            <w:tcW w:type="dxa" w:w="2498"/>
            <w:vAlign w:val="center"/>
          </w:tcPr>
          <w:p>
            <w:pPr>
              <w:spacing w:after="20"/>
            </w:pPr>
            <w:r/>
            <w:r>
              <w:rPr>
                <w:rFonts w:ascii="Aptos" w:hAnsi="Aptos"/>
                <w:b w:val="0"/>
                <w:sz w:val="16"/>
              </w:rPr>
              <w:t>Raw-data archive and collection log.</w:t>
            </w:r>
          </w:p>
        </w:tc>
      </w:tr>
      <w:tr>
        <w:tc>
          <w:tcPr>
            <w:tcW w:type="dxa" w:w="2498"/>
            <w:vAlign w:val="center"/>
            <w:shd w:fill="F1F5F9"/>
          </w:tcPr>
          <w:p>
            <w:pPr>
              <w:spacing w:after="20"/>
            </w:pPr>
            <w:r/>
            <w:r>
              <w:rPr>
                <w:rFonts w:ascii="Aptos" w:hAnsi="Aptos"/>
                <w:b w:val="0"/>
                <w:sz w:val="16"/>
              </w:rPr>
              <w:t>4. Initial profiling</w:t>
            </w:r>
          </w:p>
        </w:tc>
        <w:tc>
          <w:tcPr>
            <w:tcW w:type="dxa" w:w="2498"/>
            <w:vAlign w:val="center"/>
            <w:shd w:fill="F1F5F9"/>
          </w:tcPr>
          <w:p>
            <w:pPr>
              <w:spacing w:after="20"/>
            </w:pPr>
            <w:r/>
            <w:r>
              <w:rPr>
                <w:rFonts w:ascii="Aptos" w:hAnsi="Aptos"/>
                <w:b w:val="0"/>
                <w:sz w:val="16"/>
              </w:rPr>
              <w:t>Inspect schema, types, missingness, duplicates, ranges, and period coverage.</w:t>
            </w:r>
          </w:p>
        </w:tc>
        <w:tc>
          <w:tcPr>
            <w:tcW w:type="dxa" w:w="2498"/>
            <w:vAlign w:val="center"/>
            <w:shd w:fill="F1F5F9"/>
          </w:tcPr>
          <w:p>
            <w:pPr>
              <w:spacing w:after="20"/>
            </w:pPr>
            <w:r/>
            <w:r>
              <w:rPr>
                <w:rFonts w:ascii="Aptos" w:hAnsi="Aptos"/>
                <w:b w:val="0"/>
                <w:sz w:val="16"/>
              </w:rPr>
              <w:t>4</w:t>
            </w:r>
          </w:p>
        </w:tc>
        <w:tc>
          <w:tcPr>
            <w:tcW w:type="dxa" w:w="2498"/>
            <w:vAlign w:val="center"/>
            <w:shd w:fill="F1F5F9"/>
          </w:tcPr>
          <w:p>
            <w:pPr>
              <w:spacing w:after="20"/>
            </w:pPr>
            <w:r/>
            <w:r>
              <w:rPr>
                <w:rFonts w:ascii="Aptos" w:hAnsi="Aptos"/>
                <w:b w:val="0"/>
                <w:sz w:val="16"/>
              </w:rPr>
              <w:t>Data profile and quality baseline.</w:t>
            </w:r>
          </w:p>
        </w:tc>
      </w:tr>
      <w:tr>
        <w:tc>
          <w:tcPr>
            <w:tcW w:type="dxa" w:w="2498"/>
            <w:vAlign w:val="center"/>
          </w:tcPr>
          <w:p>
            <w:pPr>
              <w:spacing w:after="20"/>
            </w:pPr>
            <w:r/>
            <w:r>
              <w:rPr>
                <w:rFonts w:ascii="Aptos" w:hAnsi="Aptos"/>
                <w:b w:val="0"/>
                <w:sz w:val="16"/>
              </w:rPr>
              <w:t>5. Cleaning and transformation</w:t>
            </w:r>
          </w:p>
        </w:tc>
        <w:tc>
          <w:tcPr>
            <w:tcW w:type="dxa" w:w="2498"/>
            <w:vAlign w:val="center"/>
          </w:tcPr>
          <w:p>
            <w:pPr>
              <w:spacing w:after="20"/>
            </w:pPr>
            <w:r/>
            <w:r>
              <w:rPr>
                <w:rFonts w:ascii="Aptos" w:hAnsi="Aptos"/>
                <w:b w:val="0"/>
                <w:sz w:val="16"/>
              </w:rPr>
              <w:t>Standardize columns, parse dates, validate types, resolve categories, assess missingness.</w:t>
            </w:r>
          </w:p>
        </w:tc>
        <w:tc>
          <w:tcPr>
            <w:tcW w:type="dxa" w:w="2498"/>
            <w:vAlign w:val="center"/>
          </w:tcPr>
          <w:p>
            <w:pPr>
              <w:spacing w:after="20"/>
            </w:pPr>
            <w:r/>
            <w:r>
              <w:rPr>
                <w:rFonts w:ascii="Aptos" w:hAnsi="Aptos"/>
                <w:b w:val="0"/>
                <w:sz w:val="16"/>
              </w:rPr>
              <w:t>7</w:t>
            </w:r>
          </w:p>
        </w:tc>
        <w:tc>
          <w:tcPr>
            <w:tcW w:type="dxa" w:w="2498"/>
            <w:vAlign w:val="center"/>
          </w:tcPr>
          <w:p>
            <w:pPr>
              <w:spacing w:after="20"/>
            </w:pPr>
            <w:r/>
            <w:r>
              <w:rPr>
                <w:rFonts w:ascii="Aptos" w:hAnsi="Aptos"/>
                <w:b w:val="0"/>
                <w:sz w:val="16"/>
              </w:rPr>
              <w:t>Cleaning script and processed candidate files.</w:t>
            </w:r>
          </w:p>
        </w:tc>
      </w:tr>
      <w:tr>
        <w:tc>
          <w:tcPr>
            <w:tcW w:type="dxa" w:w="2498"/>
            <w:vAlign w:val="center"/>
            <w:shd w:fill="F1F5F9"/>
          </w:tcPr>
          <w:p>
            <w:pPr>
              <w:spacing w:after="20"/>
            </w:pPr>
            <w:r/>
            <w:r>
              <w:rPr>
                <w:rFonts w:ascii="Aptos" w:hAnsi="Aptos"/>
                <w:b w:val="0"/>
                <w:sz w:val="16"/>
              </w:rPr>
              <w:t>6. Verification and documentation</w:t>
            </w:r>
          </w:p>
        </w:tc>
        <w:tc>
          <w:tcPr>
            <w:tcW w:type="dxa" w:w="2498"/>
            <w:vAlign w:val="center"/>
            <w:shd w:fill="F1F5F9"/>
          </w:tcPr>
          <w:p>
            <w:pPr>
              <w:spacing w:after="20"/>
            </w:pPr>
            <w:r/>
            <w:r>
              <w:rPr>
                <w:rFonts w:ascii="Aptos" w:hAnsi="Aptos"/>
                <w:b w:val="0"/>
                <w:sz w:val="16"/>
              </w:rPr>
              <w:t>Run validation checks; review joins, ranges, units, and transformations; create quality report.</w:t>
            </w:r>
          </w:p>
        </w:tc>
        <w:tc>
          <w:tcPr>
            <w:tcW w:type="dxa" w:w="2498"/>
            <w:vAlign w:val="center"/>
            <w:shd w:fill="F1F5F9"/>
          </w:tcPr>
          <w:p>
            <w:pPr>
              <w:spacing w:after="20"/>
            </w:pPr>
            <w:r/>
            <w:r>
              <w:rPr>
                <w:rFonts w:ascii="Aptos" w:hAnsi="Aptos"/>
                <w:b w:val="0"/>
                <w:sz w:val="16"/>
              </w:rPr>
              <w:t>5</w:t>
            </w:r>
          </w:p>
        </w:tc>
        <w:tc>
          <w:tcPr>
            <w:tcW w:type="dxa" w:w="2498"/>
            <w:vAlign w:val="center"/>
            <w:shd w:fill="F1F5F9"/>
          </w:tcPr>
          <w:p>
            <w:pPr>
              <w:spacing w:after="20"/>
            </w:pPr>
            <w:r/>
            <w:r>
              <w:rPr>
                <w:rFonts w:ascii="Aptos" w:hAnsi="Aptos"/>
                <w:b w:val="0"/>
                <w:sz w:val="16"/>
              </w:rPr>
              <w:t>Validation results and data dictionary updates.</w:t>
            </w:r>
          </w:p>
        </w:tc>
      </w:tr>
      <w:tr>
        <w:tc>
          <w:tcPr>
            <w:tcW w:type="dxa" w:w="2498"/>
            <w:vAlign w:val="center"/>
          </w:tcPr>
          <w:p>
            <w:pPr>
              <w:spacing w:after="20"/>
            </w:pPr>
            <w:r/>
            <w:r>
              <w:rPr>
                <w:rFonts w:ascii="Aptos" w:hAnsi="Aptos"/>
                <w:b w:val="0"/>
                <w:sz w:val="16"/>
              </w:rPr>
              <w:t>7. Final packaging</w:t>
            </w:r>
          </w:p>
        </w:tc>
        <w:tc>
          <w:tcPr>
            <w:tcW w:type="dxa" w:w="2498"/>
            <w:vAlign w:val="center"/>
          </w:tcPr>
          <w:p>
            <w:pPr>
              <w:spacing w:after="20"/>
            </w:pPr>
            <w:r/>
            <w:r>
              <w:rPr>
                <w:rFonts w:ascii="Aptos" w:hAnsi="Aptos"/>
                <w:b w:val="0"/>
                <w:sz w:val="16"/>
              </w:rPr>
              <w:t>Organize files, rerun workflow, write README and report, review references and limitations.</w:t>
            </w:r>
          </w:p>
        </w:tc>
        <w:tc>
          <w:tcPr>
            <w:tcW w:type="dxa" w:w="2498"/>
            <w:vAlign w:val="center"/>
          </w:tcPr>
          <w:p>
            <w:pPr>
              <w:spacing w:after="20"/>
            </w:pPr>
            <w:r/>
            <w:r>
              <w:rPr>
                <w:rFonts w:ascii="Aptos" w:hAnsi="Aptos"/>
                <w:b w:val="0"/>
                <w:sz w:val="16"/>
              </w:rPr>
              <w:t>4</w:t>
            </w:r>
          </w:p>
        </w:tc>
        <w:tc>
          <w:tcPr>
            <w:tcW w:type="dxa" w:w="2498"/>
            <w:vAlign w:val="center"/>
          </w:tcPr>
          <w:p>
            <w:pPr>
              <w:spacing w:after="20"/>
            </w:pPr>
            <w:r/>
            <w:r>
              <w:rPr>
                <w:rFonts w:ascii="Aptos" w:hAnsi="Aptos"/>
                <w:b w:val="0"/>
                <w:sz w:val="16"/>
              </w:rPr>
              <w:t>Final DOCX and repository-ready package.</w:t>
            </w:r>
          </w:p>
        </w:tc>
      </w:tr>
      <w:tr>
        <w:tc>
          <w:tcPr>
            <w:tcW w:type="dxa" w:w="2498"/>
            <w:vAlign w:val="center"/>
            <w:shd w:fill="F1F5F9"/>
          </w:tcPr>
          <w:p>
            <w:pPr>
              <w:spacing w:after="20"/>
            </w:pPr>
            <w:r/>
            <w:r>
              <w:rPr>
                <w:rFonts w:ascii="Aptos" w:hAnsi="Aptos"/>
                <w:b w:val="0"/>
                <w:sz w:val="16"/>
              </w:rPr>
              <w:t>Total</w:t>
            </w:r>
          </w:p>
        </w:tc>
        <w:tc>
          <w:tcPr>
            <w:tcW w:type="dxa" w:w="2498"/>
            <w:vAlign w:val="center"/>
            <w:shd w:fill="F1F5F9"/>
          </w:tcPr>
          <w:p>
            <w:pPr>
              <w:spacing w:after="20"/>
            </w:pPr>
            <w:r/>
            <w:r>
              <w:rPr>
                <w:rFonts w:ascii="Aptos" w:hAnsi="Aptos"/>
                <w:b w:val="0"/>
                <w:sz w:val="16"/>
              </w:rPr>
            </w:r>
          </w:p>
        </w:tc>
        <w:tc>
          <w:tcPr>
            <w:tcW w:type="dxa" w:w="2498"/>
            <w:vAlign w:val="center"/>
            <w:shd w:fill="F1F5F9"/>
          </w:tcPr>
          <w:p>
            <w:pPr>
              <w:spacing w:after="20"/>
            </w:pPr>
            <w:r/>
            <w:r>
              <w:rPr>
                <w:rFonts w:ascii="Aptos" w:hAnsi="Aptos"/>
                <w:b w:val="0"/>
                <w:sz w:val="16"/>
              </w:rPr>
              <w:t>33</w:t>
            </w:r>
          </w:p>
        </w:tc>
        <w:tc>
          <w:tcPr>
            <w:tcW w:type="dxa" w:w="2498"/>
            <w:vAlign w:val="center"/>
            <w:shd w:fill="F1F5F9"/>
          </w:tcPr>
          <w:p>
            <w:pPr>
              <w:spacing w:after="20"/>
            </w:pPr>
            <w:r/>
            <w:r>
              <w:rPr>
                <w:rFonts w:ascii="Aptos" w:hAnsi="Aptos"/>
                <w:b w:val="0"/>
                <w:sz w:val="16"/>
              </w:rPr>
              <w:t>Reviewed data collection and preprocessing framework.</w:t>
            </w:r>
          </w:p>
        </w:tc>
      </w:tr>
    </w:tbl>
    <w:p/>
    <w:p>
      <w:pPr>
        <w:pStyle w:val="Heading2"/>
      </w:pPr>
      <w:r>
        <w:t>11.1 Milestone gates</w:t>
      </w:r>
    </w:p>
    <w:p>
      <w:pPr>
        <w:pStyle w:val="ListBullet"/>
        <w:spacing w:after="40"/>
      </w:pPr>
      <w:r>
        <w:t>Gate 1: Each chosen dataset maps to a research question and has a traceable source.</w:t>
      </w:r>
    </w:p>
    <w:p>
      <w:pPr>
        <w:pStyle w:val="ListBullet"/>
        <w:spacing w:after="40"/>
      </w:pPr>
      <w:r>
        <w:t>Gate 2: Reuse terms, metadata, period, and units are documented before processing.</w:t>
      </w:r>
    </w:p>
    <w:p>
      <w:pPr>
        <w:pStyle w:val="ListBullet"/>
        <w:spacing w:after="40"/>
      </w:pPr>
      <w:r>
        <w:t>Gate 3: Raw data are preserved and can be reloaded from the documented path.</w:t>
      </w:r>
    </w:p>
    <w:p>
      <w:pPr>
        <w:pStyle w:val="ListBullet"/>
        <w:spacing w:after="40"/>
      </w:pPr>
      <w:r>
        <w:t>Gate 4: Critical data-quality issues are either resolved with evidence or explicitly recorded.</w:t>
      </w:r>
    </w:p>
    <w:p>
      <w:pPr>
        <w:pStyle w:val="ListBullet"/>
        <w:spacing w:after="40"/>
      </w:pPr>
      <w:r>
        <w:t>Gate 5: Processed outputs pass validation checks and can be reproduced from the documented workflow.</w:t>
      </w:r>
    </w:p>
    <w:p>
      <w:pPr>
        <w:pStyle w:val="Heading1"/>
      </w:pPr>
      <w:r>
        <w:t>12. Deliverables and Evaluation Alignment</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pPr>
              <w:spacing w:after="20"/>
            </w:pPr>
            <w:r/>
            <w:r>
              <w:rPr>
                <w:rFonts w:ascii="Aptos" w:hAnsi="Aptos"/>
                <w:b/>
                <w:color w:val="FFFFFF"/>
                <w:sz w:val="17"/>
              </w:rPr>
              <w:t>Deliverable</w:t>
            </w:r>
          </w:p>
        </w:tc>
        <w:tc>
          <w:tcPr>
            <w:tcW w:type="dxa" w:w="4997"/>
            <w:vAlign w:val="center"/>
            <w:shd w:fill="17365D"/>
          </w:tcPr>
          <w:p>
            <w:pPr>
              <w:spacing w:after="20"/>
            </w:pPr>
            <w:r/>
            <w:r>
              <w:rPr>
                <w:rFonts w:ascii="Aptos" w:hAnsi="Aptos"/>
                <w:b/>
                <w:color w:val="FFFFFF"/>
                <w:sz w:val="17"/>
              </w:rPr>
              <w:t>Evidence / acceptance criterion</w:t>
            </w:r>
          </w:p>
        </w:tc>
      </w:tr>
      <w:tr>
        <w:tc>
          <w:tcPr>
            <w:tcW w:type="dxa" w:w="4997"/>
            <w:vAlign w:val="center"/>
          </w:tcPr>
          <w:p>
            <w:pPr>
              <w:spacing w:after="20"/>
            </w:pPr>
            <w:r/>
            <w:r>
              <w:rPr>
                <w:rFonts w:ascii="Aptos" w:hAnsi="Aptos"/>
                <w:b w:val="0"/>
                <w:sz w:val="16"/>
              </w:rPr>
              <w:t>Data source inventory</w:t>
            </w:r>
          </w:p>
        </w:tc>
        <w:tc>
          <w:tcPr>
            <w:tcW w:type="dxa" w:w="4997"/>
            <w:vAlign w:val="center"/>
          </w:tcPr>
          <w:p>
            <w:pPr>
              <w:spacing w:after="20"/>
            </w:pPr>
            <w:r/>
            <w:r>
              <w:rPr>
                <w:rFonts w:ascii="Aptos" w:hAnsi="Aptos"/>
                <w:b w:val="0"/>
                <w:sz w:val="16"/>
              </w:rPr>
              <w:t>Contains source URL, publisher, access date, format, licence, coverage, and quality notes.</w:t>
            </w:r>
          </w:p>
        </w:tc>
      </w:tr>
      <w:tr>
        <w:tc>
          <w:tcPr>
            <w:tcW w:type="dxa" w:w="4997"/>
            <w:vAlign w:val="center"/>
            <w:shd w:fill="F1F5F9"/>
          </w:tcPr>
          <w:p>
            <w:pPr>
              <w:spacing w:after="20"/>
            </w:pPr>
            <w:r/>
            <w:r>
              <w:rPr>
                <w:rFonts w:ascii="Aptos" w:hAnsi="Aptos"/>
                <w:b w:val="0"/>
                <w:sz w:val="16"/>
              </w:rPr>
              <w:t>Collection plan</w:t>
            </w:r>
          </w:p>
        </w:tc>
        <w:tc>
          <w:tcPr>
            <w:tcW w:type="dxa" w:w="4997"/>
            <w:vAlign w:val="center"/>
            <w:shd w:fill="F1F5F9"/>
          </w:tcPr>
          <w:p>
            <w:pPr>
              <w:spacing w:after="20"/>
            </w:pPr>
            <w:r/>
            <w:r>
              <w:rPr>
                <w:rFonts w:ascii="Aptos" w:hAnsi="Aptos"/>
                <w:b w:val="0"/>
                <w:sz w:val="16"/>
              </w:rPr>
              <w:t>Explains download/API/report extraction method, storage, naming, and logging.</w:t>
            </w:r>
          </w:p>
        </w:tc>
      </w:tr>
      <w:tr>
        <w:tc>
          <w:tcPr>
            <w:tcW w:type="dxa" w:w="4997"/>
            <w:vAlign w:val="center"/>
          </w:tcPr>
          <w:p>
            <w:pPr>
              <w:spacing w:after="20"/>
            </w:pPr>
            <w:r/>
            <w:r>
              <w:rPr>
                <w:rFonts w:ascii="Aptos" w:hAnsi="Aptos"/>
                <w:b w:val="0"/>
                <w:sz w:val="16"/>
              </w:rPr>
              <w:t>Preprocessing plan</w:t>
            </w:r>
          </w:p>
        </w:tc>
        <w:tc>
          <w:tcPr>
            <w:tcW w:type="dxa" w:w="4997"/>
            <w:vAlign w:val="center"/>
          </w:tcPr>
          <w:p>
            <w:pPr>
              <w:spacing w:after="20"/>
            </w:pPr>
            <w:r/>
            <w:r>
              <w:rPr>
                <w:rFonts w:ascii="Aptos" w:hAnsi="Aptos"/>
                <w:b w:val="0"/>
                <w:sz w:val="16"/>
              </w:rPr>
              <w:t>Describes missing-value, duplicate, type, category, date, outlier, and scaling decisions.</w:t>
            </w:r>
          </w:p>
        </w:tc>
      </w:tr>
      <w:tr>
        <w:tc>
          <w:tcPr>
            <w:tcW w:type="dxa" w:w="4997"/>
            <w:vAlign w:val="center"/>
            <w:shd w:fill="F1F5F9"/>
          </w:tcPr>
          <w:p>
            <w:pPr>
              <w:spacing w:after="20"/>
            </w:pPr>
            <w:r/>
            <w:r>
              <w:rPr>
                <w:rFonts w:ascii="Aptos" w:hAnsi="Aptos"/>
                <w:b w:val="0"/>
                <w:sz w:val="16"/>
              </w:rPr>
              <w:t>Python workflow</w:t>
            </w:r>
          </w:p>
        </w:tc>
        <w:tc>
          <w:tcPr>
            <w:tcW w:type="dxa" w:w="4997"/>
            <w:vAlign w:val="center"/>
            <w:shd w:fill="F1F5F9"/>
          </w:tcPr>
          <w:p>
            <w:pPr>
              <w:spacing w:after="20"/>
            </w:pPr>
            <w:r/>
            <w:r>
              <w:rPr>
                <w:rFonts w:ascii="Aptos" w:hAnsi="Aptos"/>
                <w:b w:val="0"/>
                <w:sz w:val="16"/>
              </w:rPr>
              <w:t>Readable code, reusable functions where practical, clear paths, and reproducible outputs.</w:t>
            </w:r>
          </w:p>
        </w:tc>
      </w:tr>
      <w:tr>
        <w:tc>
          <w:tcPr>
            <w:tcW w:type="dxa" w:w="4997"/>
            <w:vAlign w:val="center"/>
          </w:tcPr>
          <w:p>
            <w:pPr>
              <w:spacing w:after="20"/>
            </w:pPr>
            <w:r/>
            <w:r>
              <w:rPr>
                <w:rFonts w:ascii="Aptos" w:hAnsi="Aptos"/>
                <w:b w:val="0"/>
                <w:sz w:val="16"/>
              </w:rPr>
              <w:t>Data quality report</w:t>
            </w:r>
          </w:p>
        </w:tc>
        <w:tc>
          <w:tcPr>
            <w:tcW w:type="dxa" w:w="4997"/>
            <w:vAlign w:val="center"/>
          </w:tcPr>
          <w:p>
            <w:pPr>
              <w:spacing w:after="20"/>
            </w:pPr>
            <w:r/>
            <w:r>
              <w:rPr>
                <w:rFonts w:ascii="Aptos" w:hAnsi="Aptos"/>
                <w:b w:val="0"/>
                <w:sz w:val="16"/>
              </w:rPr>
              <w:t>Quantifies missingness, duplicates, type failures, range issues, and schema checks.</w:t>
            </w:r>
          </w:p>
        </w:tc>
      </w:tr>
      <w:tr>
        <w:tc>
          <w:tcPr>
            <w:tcW w:type="dxa" w:w="4997"/>
            <w:vAlign w:val="center"/>
            <w:shd w:fill="F1F5F9"/>
          </w:tcPr>
          <w:p>
            <w:pPr>
              <w:spacing w:after="20"/>
            </w:pPr>
            <w:r/>
            <w:r>
              <w:rPr>
                <w:rFonts w:ascii="Aptos" w:hAnsi="Aptos"/>
                <w:b w:val="0"/>
                <w:sz w:val="16"/>
              </w:rPr>
              <w:t>Analysis-ready dataset</w:t>
            </w:r>
          </w:p>
        </w:tc>
        <w:tc>
          <w:tcPr>
            <w:tcW w:type="dxa" w:w="4997"/>
            <w:vAlign w:val="center"/>
            <w:shd w:fill="F1F5F9"/>
          </w:tcPr>
          <w:p>
            <w:pPr>
              <w:spacing w:after="20"/>
            </w:pPr>
            <w:r/>
            <w:r>
              <w:rPr>
                <w:rFonts w:ascii="Aptos" w:hAnsi="Aptos"/>
                <w:b w:val="0"/>
                <w:sz w:val="16"/>
              </w:rPr>
              <w:t>Consistent schema, documented units and categories, no unexplained transformations.</w:t>
            </w:r>
          </w:p>
        </w:tc>
      </w:tr>
      <w:tr>
        <w:tc>
          <w:tcPr>
            <w:tcW w:type="dxa" w:w="4997"/>
            <w:vAlign w:val="center"/>
          </w:tcPr>
          <w:p>
            <w:pPr>
              <w:spacing w:after="20"/>
            </w:pPr>
            <w:r/>
            <w:r>
              <w:rPr>
                <w:rFonts w:ascii="Aptos" w:hAnsi="Aptos"/>
                <w:b w:val="0"/>
                <w:sz w:val="16"/>
              </w:rPr>
              <w:t>Final DOCX</w:t>
            </w:r>
          </w:p>
        </w:tc>
        <w:tc>
          <w:tcPr>
            <w:tcW w:type="dxa" w:w="4997"/>
            <w:vAlign w:val="center"/>
          </w:tcPr>
          <w:p>
            <w:pPr>
              <w:spacing w:after="20"/>
            </w:pPr>
            <w:r/>
            <w:r>
              <w:rPr>
                <w:rFonts w:ascii="Aptos" w:hAnsi="Aptos"/>
                <w:b w:val="0"/>
                <w:sz w:val="16"/>
              </w:rPr>
              <w:t>Organized technical and strategic explanation with a clear workflow and 30–35-hour timeline.</w:t>
            </w:r>
          </w:p>
        </w:tc>
      </w:tr>
    </w:tbl>
    <w:p/>
    <w:p>
      <w:pPr>
        <w:pStyle w:val="Heading1"/>
      </w:pPr>
      <w:r>
        <w:t>13. Privacy, Licensing, and Responsible Handling</w:t>
      </w:r>
    </w:p>
    <w:p>
      <w:pPr>
        <w:pStyle w:val="ListBullet"/>
        <w:spacing w:after="40"/>
      </w:pPr>
      <w:r>
        <w:t>Use only sources accessible under their stated terms; follow attribution and redistribution conditions.</w:t>
      </w:r>
    </w:p>
    <w:p>
      <w:pPr>
        <w:pStyle w:val="ListBullet"/>
        <w:spacing w:after="40"/>
      </w:pPr>
      <w:r>
        <w:t>Do not attempt to bypass access controls, authentication, or API restrictions.</w:t>
      </w:r>
    </w:p>
    <w:p>
      <w:pPr>
        <w:pStyle w:val="ListBullet"/>
        <w:spacing w:after="40"/>
      </w:pPr>
      <w:r>
        <w:t>Do not publish credentials, API keys, personal identifiers, or confidential files in GitHub.</w:t>
      </w:r>
    </w:p>
    <w:p>
      <w:pPr>
        <w:pStyle w:val="ListBullet"/>
        <w:spacing w:after="40"/>
      </w:pPr>
      <w:r>
        <w:t>If a source unexpectedly contains identifiable information, pause processing and assess whether it should be excluded.</w:t>
      </w:r>
    </w:p>
    <w:p>
      <w:pPr>
        <w:pStyle w:val="ListBullet"/>
        <w:spacing w:after="40"/>
      </w:pPr>
      <w:r>
        <w:t>Keep a raw source copy only when permitted; otherwise record the official URL and retrieval metadata.</w:t>
      </w:r>
    </w:p>
    <w:p>
      <w:pPr>
        <w:pStyle w:val="ListBullet"/>
        <w:spacing w:after="40"/>
      </w:pPr>
      <w:r>
        <w:t>Make limitations visible, especially missing coverage and changing definitions.</w:t>
      </w:r>
    </w:p>
    <w:p>
      <w:pPr>
        <w:pStyle w:val="Heading1"/>
      </w:pPr>
      <w:r>
        <w:t>14. Conclusion</w:t>
      </w:r>
    </w:p>
    <w:p>
      <w:r>
        <w:t>This framework defines a traceable process for turning public e-governance data into a reliable analytical resource. The most important outcomes are not simply cleaned CSV files, but also documented sources, explicit preprocessing decisions, quality checks, reproducible code, and clear limitations. By preserving raw data, using suitable Python libraries, validating every important transformation, and following the proposed 33-hour timeline, the project can create a sound foundation for subsequent exploratory analysis of digital services.</w:t>
      </w:r>
    </w:p>
    <w:p>
      <w:pPr>
        <w:pStyle w:val="Heading1"/>
      </w:pPr>
      <w:r>
        <w:t>References and Useful Links</w:t>
      </w:r>
    </w:p>
    <w:p>
      <w:pPr>
        <w:spacing w:after="60"/>
      </w:pPr>
      <w:r>
        <w:rPr>
          <w:b/>
        </w:rPr>
        <w:t xml:space="preserve">1. Open Government Data Platform India: </w:t>
      </w:r>
      <w:r>
        <w:t>https://data.gov.in/</w:t>
        <w:br/>
        <w:t>Use dataset-specific pages to verify metadata, update history, and licence.</w:t>
      </w:r>
    </w:p>
    <w:p>
      <w:pPr>
        <w:spacing w:after="60"/>
      </w:pPr>
      <w:r>
        <w:rPr>
          <w:b/>
        </w:rPr>
        <w:t xml:space="preserve">2. World Bank GovTech Maturity Index 2025 Update: </w:t>
      </w:r>
      <w:r>
        <w:t>https://www.worldbank.org/en/programs/govtech/gtmi-2025-update</w:t>
        <w:br/>
        <w:t>Framework and background for GovTech indicators.</w:t>
      </w:r>
    </w:p>
    <w:p>
      <w:pPr>
        <w:spacing w:after="60"/>
      </w:pPr>
      <w:r>
        <w:rPr>
          <w:b/>
        </w:rPr>
        <w:t xml:space="preserve">3. World Bank GovTech Dataset: </w:t>
      </w:r>
      <w:r>
        <w:t>https://datacatalog.worldbank.org/search/dataset/0037889/govtech-dataset</w:t>
        <w:br/>
        <w:t>Dataset catalogue, metadata, and access details.</w:t>
      </w:r>
    </w:p>
    <w:p>
      <w:pPr>
        <w:spacing w:after="60"/>
      </w:pPr>
      <w:r>
        <w:rPr>
          <w:b/>
        </w:rPr>
        <w:t xml:space="preserve">4. pandas documentation: </w:t>
      </w:r>
      <w:r>
        <w:t>https://pandas.pydata.org/docs/</w:t>
        <w:br/>
        <w:t>Data import, cleaning, transformation, and validation.</w:t>
      </w:r>
    </w:p>
    <w:p>
      <w:pPr>
        <w:spacing w:after="60"/>
      </w:pPr>
      <w:r>
        <w:rPr>
          <w:b/>
        </w:rPr>
        <w:t xml:space="preserve">5. NumPy documentation: </w:t>
      </w:r>
      <w:r>
        <w:t>https://numpy.org/doc/</w:t>
        <w:br/>
        <w:t>Numerical operations and missing-value support.</w:t>
      </w:r>
    </w:p>
    <w:p>
      <w:pPr>
        <w:spacing w:after="60"/>
      </w:pPr>
      <w:r>
        <w:rPr>
          <w:b/>
        </w:rPr>
        <w:t xml:space="preserve">6. scikit-learn preprocessing documentation: </w:t>
      </w:r>
      <w:r>
        <w:t>https://scikit-learn.org/stable/modules/preprocessing.html</w:t>
        <w:br/>
        <w:t>Imputation, scaling, and encoding methods.</w:t>
      </w:r>
    </w:p>
    <w:p>
      <w:pPr>
        <w:spacing w:after="60"/>
      </w:pPr>
      <w:r>
        <w:rPr>
          <w:b/>
        </w:rPr>
        <w:t xml:space="preserve">7. Matplotlib documentation: </w:t>
      </w:r>
      <w:r>
        <w:t>https://matplotlib.org/stable/</w:t>
        <w:br/>
        <w:t>Data visualization and diagnostic plots.</w:t>
      </w:r>
    </w:p>
    <w:p>
      <w:pPr>
        <w:spacing w:after="60"/>
      </w:pPr>
      <w:r>
        <w:rPr>
          <w:b/>
        </w:rPr>
        <w:t xml:space="preserve">8. Seaborn documentation: </w:t>
      </w:r>
      <w:r>
        <w:t>https://seaborn.pydata.org/</w:t>
        <w:br/>
        <w:t>Statistical visualization.</w:t>
      </w:r>
    </w:p>
    <w:p>
      <w:pPr>
        <w:pStyle w:val="Heading1"/>
      </w:pPr>
      <w:r>
        <w:t>Appendix A — Final Preprocessing Checklist</w:t>
      </w:r>
    </w:p>
    <w:p>
      <w:pPr>
        <w:pStyle w:val="ListBullet"/>
        <w:spacing w:after="40"/>
      </w:pPr>
      <w:r>
        <w:t>☐ Source and access date recorded.</w:t>
      </w:r>
    </w:p>
    <w:p>
      <w:pPr>
        <w:pStyle w:val="ListBullet"/>
        <w:spacing w:after="40"/>
      </w:pPr>
      <w:r>
        <w:t>☐ Licence and permitted use checked.</w:t>
      </w:r>
    </w:p>
    <w:p>
      <w:pPr>
        <w:pStyle w:val="ListBullet"/>
        <w:spacing w:after="40"/>
      </w:pPr>
      <w:r>
        <w:t>☐ Raw file preserved and named consistently.</w:t>
      </w:r>
    </w:p>
    <w:p>
      <w:pPr>
        <w:pStyle w:val="ListBullet"/>
        <w:spacing w:after="40"/>
      </w:pPr>
      <w:r>
        <w:t>☐ Schema and column definitions reviewed.</w:t>
      </w:r>
    </w:p>
    <w:p>
      <w:pPr>
        <w:pStyle w:val="ListBullet"/>
        <w:spacing w:after="40"/>
      </w:pPr>
      <w:r>
        <w:t>☐ Missingness quantified and handled according to variable meaning.</w:t>
      </w:r>
    </w:p>
    <w:p>
      <w:pPr>
        <w:pStyle w:val="ListBullet"/>
        <w:spacing w:after="40"/>
      </w:pPr>
      <w:r>
        <w:t>☐ Duplicates investigated before removal.</w:t>
      </w:r>
    </w:p>
    <w:p>
      <w:pPr>
        <w:pStyle w:val="ListBullet"/>
        <w:spacing w:after="40"/>
      </w:pPr>
      <w:r>
        <w:t>☐ Dates, numeric values, categories, and units standardized transparently.</w:t>
      </w:r>
    </w:p>
    <w:p>
      <w:pPr>
        <w:pStyle w:val="ListBullet"/>
        <w:spacing w:after="40"/>
      </w:pPr>
      <w:r>
        <w:t>☐ Range and logical validation checks completed.</w:t>
      </w:r>
    </w:p>
    <w:p>
      <w:pPr>
        <w:pStyle w:val="ListBullet"/>
        <w:spacing w:after="40"/>
      </w:pPr>
      <w:r>
        <w:t>☐ Outliers investigated rather than automatically removed.</w:t>
      </w:r>
    </w:p>
    <w:p>
      <w:pPr>
        <w:pStyle w:val="ListBullet"/>
        <w:spacing w:after="40"/>
      </w:pPr>
      <w:r>
        <w:t>☐ Data dictionary, cleaning log, and quality report saved.</w:t>
      </w:r>
    </w:p>
    <w:p>
      <w:pPr>
        <w:pStyle w:val="ListBullet"/>
        <w:spacing w:after="40"/>
      </w:pPr>
      <w:r>
        <w:t>☐ Processed output can be reproduced from raw data and documented code.</w:t>
      </w:r>
    </w:p>
    <w:p>
      <w:pPr>
        <w:pStyle w:val="ListBullet"/>
        <w:spacing w:after="40"/>
      </w:pPr>
      <w:r>
        <w:t>☐ No sensitive or restricted information included in the submission.</w:t>
      </w:r>
    </w:p>
    <w:p>
      <w:r>
        <w:t>Document status: This is a proposed data collection and preprocessing framework. Dataset-specific results should be added only after actual source files have been collected, inspected, and validated.</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Data Collection &amp; Preprocessing Framework  •  18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YUVA VIRTUAL DATA ANALYSIS INTERNSHIP  |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A34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7C91"/>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375A7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