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07C91"/>
          <w:sz w:val="28"/>
        </w:rPr>
        <w:t>WEEK 3 • ANALYTICAL EXECUTION PLAN</w:t>
      </w:r>
    </w:p>
    <w:p>
      <w:pPr>
        <w:spacing w:before="200"/>
        <w:jc w:val="center"/>
      </w:pPr>
      <w:r>
        <w:rPr>
          <w:rFonts w:ascii="Aptos Display" w:hAnsi="Aptos Display"/>
          <w:b/>
          <w:color w:val="17365D"/>
          <w:sz w:val="58"/>
        </w:rPr>
        <w:t>Data Analysis &amp;</w:t>
        <w:br/>
        <w:t>Python Implementation</w:t>
      </w:r>
    </w:p>
    <w:p>
      <w:pPr>
        <w:spacing w:before="200"/>
        <w:jc w:val="center"/>
      </w:pPr>
      <w:r>
        <w:rPr>
          <w:color w:val="4B5A69"/>
          <w:sz w:val="30"/>
        </w:rPr>
        <w:t>E-Governance &amp; Digital Services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EF6"/>
          </w:tcPr>
          <w:p>
            <w:pPr>
              <w:spacing w:after="20"/>
            </w:pPr>
            <w:r/>
            <w:r>
              <w:rPr>
                <w:rFonts w:ascii="Aptos" w:hAnsi="Aptos"/>
                <w:b/>
                <w:color w:val="17365D"/>
                <w:sz w:val="19"/>
              </w:rPr>
              <w:t>Internship</w:t>
            </w:r>
          </w:p>
        </w:tc>
        <w:tc>
          <w:tcPr>
            <w:tcW w:type="dxa" w:w="5040"/>
            <w:vAlign w:val="center"/>
          </w:tcPr>
          <w:p>
            <w:pPr>
              <w:spacing w:after="20"/>
            </w:pPr>
            <w:r/>
            <w:r>
              <w:rPr>
                <w:rFonts w:ascii="Aptos" w:hAnsi="Aptos"/>
                <w:b w:val="0"/>
                <w:sz w:val="19"/>
              </w:rPr>
              <w:t>Yuva Virtual Data Analysis Internship</w:t>
            </w:r>
          </w:p>
        </w:tc>
      </w:tr>
      <w:tr>
        <w:tc>
          <w:tcPr>
            <w:tcW w:type="dxa" w:w="5040"/>
            <w:vAlign w:val="center"/>
            <w:shd w:fill="E7EEF6"/>
          </w:tcPr>
          <w:p>
            <w:pPr>
              <w:spacing w:after="20"/>
            </w:pPr>
            <w:r/>
            <w:r>
              <w:rPr>
                <w:rFonts w:ascii="Aptos" w:hAnsi="Aptos"/>
                <w:b/>
                <w:color w:val="17365D"/>
                <w:sz w:val="19"/>
              </w:rPr>
              <w:t>Task</w:t>
            </w:r>
          </w:p>
        </w:tc>
        <w:tc>
          <w:tcPr>
            <w:tcW w:type="dxa" w:w="5040"/>
            <w:vAlign w:val="center"/>
          </w:tcPr>
          <w:p>
            <w:pPr>
              <w:spacing w:after="20"/>
            </w:pPr>
            <w:r/>
            <w:r>
              <w:rPr>
                <w:rFonts w:ascii="Aptos" w:hAnsi="Aptos"/>
                <w:b w:val="0"/>
                <w:sz w:val="19"/>
              </w:rPr>
              <w:t>Week 3 — Data Analysis &amp; Python Implementation</w:t>
            </w:r>
          </w:p>
        </w:tc>
      </w:tr>
      <w:tr>
        <w:tc>
          <w:tcPr>
            <w:tcW w:type="dxa" w:w="5040"/>
            <w:vAlign w:val="center"/>
            <w:shd w:fill="E7EEF6"/>
          </w:tcPr>
          <w:p>
            <w:pPr>
              <w:spacing w:after="20"/>
            </w:pPr>
            <w:r/>
            <w:r>
              <w:rPr>
                <w:rFonts w:ascii="Aptos" w:hAnsi="Aptos"/>
                <w:b/>
                <w:color w:val="17365D"/>
                <w:sz w:val="19"/>
              </w:rPr>
              <w:t>Context</w:t>
            </w:r>
          </w:p>
        </w:tc>
        <w:tc>
          <w:tcPr>
            <w:tcW w:type="dxa" w:w="5040"/>
            <w:vAlign w:val="center"/>
          </w:tcPr>
          <w:p>
            <w:pPr>
              <w:spacing w:after="20"/>
            </w:pPr>
            <w:r/>
            <w:r>
              <w:rPr>
                <w:rFonts w:ascii="Aptos" w:hAnsi="Aptos"/>
                <w:b w:val="0"/>
                <w:sz w:val="19"/>
              </w:rPr>
              <w:t>Public digital services and e-governance in India</w:t>
            </w:r>
          </w:p>
        </w:tc>
      </w:tr>
      <w:tr>
        <w:tc>
          <w:tcPr>
            <w:tcW w:type="dxa" w:w="5040"/>
            <w:vAlign w:val="center"/>
            <w:shd w:fill="E7EEF6"/>
          </w:tcPr>
          <w:p>
            <w:pPr>
              <w:spacing w:after="20"/>
            </w:pPr>
            <w:r/>
            <w:r>
              <w:rPr>
                <w:rFonts w:ascii="Aptos" w:hAnsi="Aptos"/>
                <w:b/>
                <w:color w:val="17365D"/>
                <w:sz w:val="19"/>
              </w:rPr>
              <w:t>Estimated effort</w:t>
            </w:r>
          </w:p>
        </w:tc>
        <w:tc>
          <w:tcPr>
            <w:tcW w:type="dxa" w:w="5040"/>
            <w:vAlign w:val="center"/>
          </w:tcPr>
          <w:p>
            <w:pPr>
              <w:spacing w:after="20"/>
            </w:pPr>
            <w:r/>
            <w:r>
              <w:rPr>
                <w:rFonts w:ascii="Aptos" w:hAnsi="Aptos"/>
                <w:b w:val="0"/>
                <w:sz w:val="19"/>
              </w:rPr>
              <w:t>33 hours</w:t>
            </w:r>
          </w:p>
        </w:tc>
      </w:tr>
    </w:tbl>
    <w:p>
      <w:pPr>
        <w:spacing w:before="440"/>
        <w:jc w:val="center"/>
      </w:pPr>
      <w:r>
        <w:rPr>
          <w:b/>
          <w:color w:val="007C91"/>
          <w:sz w:val="24"/>
        </w:rPr>
        <w:t>Purpose</w:t>
      </w:r>
    </w:p>
    <w:p>
      <w:pPr>
        <w:ind w:left="936" w:right="936"/>
        <w:jc w:val="center"/>
      </w:pPr>
      <w:r>
        <w:t>To define a practical and reproducible Python workflow for analysing validated public data, measuring relevant digital-service indicators, interpreting patterns, and converting findings into evidence-based recommendations.</w:t>
      </w:r>
    </w:p>
    <w:p>
      <w:r>
        <w:br w:type="page"/>
      </w:r>
    </w:p>
    <w:p>
      <w:pPr>
        <w:pStyle w:val="Heading1"/>
      </w:pPr>
      <w:r>
        <w:t>Executive Summary</w:t>
      </w:r>
    </w:p>
    <w:p>
      <w:r>
        <w:t>This report outlines the analysis and Python implementation phase for an e-governance and digital services data analysis project. It builds on the previous tasks of strategic planning and data collection/preprocessing by explaining how analysis-ready datasets will be explored, summarized, visualized, and interpreted. The proposed workflow combines descriptive statistics, trend analysis, comparisons across service categories or locations, and carefully justified advanced methods where data volume and quality support them.</w:t>
      </w:r>
    </w:p>
    <w:p>
      <w:r>
        <w:t>Potential indicators include online service usage, transaction completion, processing time, pending applications, grievance resolution, portal availability, and aggregate digital-access context. The project will use public data from authoritative sources such as India's Open Government Data Platform, relevant government reports, and World Bank GovTech resources, subject to source verification. These are candidate sources; no dataset-specific findings are claimed in this planning document.</w:t>
      </w:r>
    </w:p>
    <w:p>
      <w:r>
        <w:t>Python tools will include pandas and NumPy for analysis, Matplotlib and Seaborn for visualizations, SciPy for selected statistical tests, and scikit-learn for optional scaling, clustering, or predictive modelling when justified. The workflow will prioritize interpretability, reproducibility, validation, and responsible communication. A 33-hour timeline and an example implementation template are provided.</w:t>
      </w:r>
    </w:p>
    <w:p>
      <w:pPr>
        <w:pStyle w:val="Heading2"/>
      </w:pPr>
      <w:r>
        <w:t>Project at a Glance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6"/>
              </w:rPr>
              <w:t>Element</w:t>
            </w:r>
          </w:p>
        </w:tc>
        <w:tc>
          <w:tcPr>
            <w:tcW w:type="dxa" w:w="5040"/>
            <w:vAlign w:val="center"/>
            <w:shd w:fill="17365D"/>
          </w:tcPr>
          <w:p>
            <w:pPr>
              <w:spacing w:after="20"/>
            </w:pPr>
            <w:r/>
            <w:r>
              <w:rPr>
                <w:rFonts w:ascii="Aptos" w:hAnsi="Aptos"/>
                <w:b/>
                <w:color w:val="FFFFFF"/>
                <w:sz w:val="16"/>
              </w:rPr>
              <w:t>Plan</w:t>
            </w:r>
          </w:p>
        </w:tc>
      </w:tr>
      <w:tr>
        <w:tc>
          <w:tcPr>
            <w:tcW w:type="dxa" w:w="5040"/>
            <w:vAlign w:val="center"/>
          </w:tcPr>
          <w:p>
            <w:pPr>
              <w:spacing w:after="20"/>
            </w:pPr>
            <w:r/>
            <w:r>
              <w:rPr>
                <w:rFonts w:ascii="Aptos" w:hAnsi="Aptos"/>
                <w:b w:val="0"/>
                <w:sz w:val="15"/>
              </w:rPr>
              <w:t>Primary question</w:t>
            </w:r>
          </w:p>
        </w:tc>
        <w:tc>
          <w:tcPr>
            <w:tcW w:type="dxa" w:w="5040"/>
            <w:vAlign w:val="center"/>
          </w:tcPr>
          <w:p>
            <w:pPr>
              <w:spacing w:after="20"/>
            </w:pPr>
            <w:r/>
            <w:r>
              <w:rPr>
                <w:rFonts w:ascii="Aptos" w:hAnsi="Aptos"/>
                <w:b w:val="0"/>
                <w:sz w:val="15"/>
              </w:rPr>
              <w:t>What patterns in public data can help assess the reach, use, timeliness, and responsiveness of selected digital public services?</w:t>
            </w:r>
          </w:p>
        </w:tc>
      </w:tr>
      <w:tr>
        <w:tc>
          <w:tcPr>
            <w:tcW w:type="dxa" w:w="5040"/>
            <w:vAlign w:val="center"/>
            <w:shd w:fill="F1F5F9"/>
          </w:tcPr>
          <w:p>
            <w:pPr>
              <w:spacing w:after="20"/>
            </w:pPr>
            <w:r/>
            <w:r>
              <w:rPr>
                <w:rFonts w:ascii="Aptos" w:hAnsi="Aptos"/>
                <w:b w:val="0"/>
                <w:sz w:val="15"/>
              </w:rPr>
              <w:t>Scope</w:t>
            </w:r>
          </w:p>
        </w:tc>
        <w:tc>
          <w:tcPr>
            <w:tcW w:type="dxa" w:w="5040"/>
            <w:vAlign w:val="center"/>
            <w:shd w:fill="F1F5F9"/>
          </w:tcPr>
          <w:p>
            <w:pPr>
              <w:spacing w:after="20"/>
            </w:pPr>
            <w:r/>
            <w:r>
              <w:rPr>
                <w:rFonts w:ascii="Aptos" w:hAnsi="Aptos"/>
                <w:b w:val="0"/>
                <w:sz w:val="15"/>
              </w:rPr>
              <w:t>India-focused; regional or service comparisons only when definitions and coverage are comparable.</w:t>
            </w:r>
          </w:p>
        </w:tc>
      </w:tr>
      <w:tr>
        <w:tc>
          <w:tcPr>
            <w:tcW w:type="dxa" w:w="5040"/>
            <w:vAlign w:val="center"/>
          </w:tcPr>
          <w:p>
            <w:pPr>
              <w:spacing w:after="20"/>
            </w:pPr>
            <w:r/>
            <w:r>
              <w:rPr>
                <w:rFonts w:ascii="Aptos" w:hAnsi="Aptos"/>
                <w:b w:val="0"/>
                <w:sz w:val="15"/>
              </w:rPr>
              <w:t>Core methods</w:t>
            </w:r>
          </w:p>
        </w:tc>
        <w:tc>
          <w:tcPr>
            <w:tcW w:type="dxa" w:w="5040"/>
            <w:vAlign w:val="center"/>
          </w:tcPr>
          <w:p>
            <w:pPr>
              <w:spacing w:after="20"/>
            </w:pPr>
            <w:r/>
            <w:r>
              <w:rPr>
                <w:rFonts w:ascii="Aptos" w:hAnsi="Aptos"/>
                <w:b w:val="0"/>
                <w:sz w:val="15"/>
              </w:rPr>
              <w:t>Descriptive statistics, rates with valid denominators, trend analysis, group comparisons, data visualization, and qualitative context review.</w:t>
            </w:r>
          </w:p>
        </w:tc>
      </w:tr>
      <w:tr>
        <w:tc>
          <w:tcPr>
            <w:tcW w:type="dxa" w:w="5040"/>
            <w:vAlign w:val="center"/>
            <w:shd w:fill="F1F5F9"/>
          </w:tcPr>
          <w:p>
            <w:pPr>
              <w:spacing w:after="20"/>
            </w:pPr>
            <w:r/>
            <w:r>
              <w:rPr>
                <w:rFonts w:ascii="Aptos" w:hAnsi="Aptos"/>
                <w:b w:val="0"/>
                <w:sz w:val="15"/>
              </w:rPr>
              <w:t>Optional advanced methods</w:t>
            </w:r>
          </w:p>
        </w:tc>
        <w:tc>
          <w:tcPr>
            <w:tcW w:type="dxa" w:w="5040"/>
            <w:vAlign w:val="center"/>
            <w:shd w:fill="F1F5F9"/>
          </w:tcPr>
          <w:p>
            <w:pPr>
              <w:spacing w:after="20"/>
            </w:pPr>
            <w:r/>
            <w:r>
              <w:rPr>
                <w:rFonts w:ascii="Aptos" w:hAnsi="Aptos"/>
                <w:b w:val="0"/>
                <w:sz w:val="15"/>
              </w:rPr>
              <w:t>Correlation, regression, clustering, or hypothesis tests only if assumptions and data volume are suitable.</w:t>
            </w:r>
          </w:p>
        </w:tc>
      </w:tr>
      <w:tr>
        <w:tc>
          <w:tcPr>
            <w:tcW w:type="dxa" w:w="5040"/>
            <w:vAlign w:val="center"/>
          </w:tcPr>
          <w:p>
            <w:pPr>
              <w:spacing w:after="20"/>
            </w:pPr>
            <w:r/>
            <w:r>
              <w:rPr>
                <w:rFonts w:ascii="Aptos" w:hAnsi="Aptos"/>
                <w:b w:val="0"/>
                <w:sz w:val="15"/>
              </w:rPr>
              <w:t>Outputs</w:t>
            </w:r>
          </w:p>
        </w:tc>
        <w:tc>
          <w:tcPr>
            <w:tcW w:type="dxa" w:w="5040"/>
            <w:vAlign w:val="center"/>
          </w:tcPr>
          <w:p>
            <w:pPr>
              <w:spacing w:after="20"/>
            </w:pPr>
            <w:r/>
            <w:r>
              <w:rPr>
                <w:rFonts w:ascii="Aptos" w:hAnsi="Aptos"/>
                <w:b w:val="0"/>
                <w:sz w:val="15"/>
              </w:rPr>
              <w:t>Analysis notebook/scripts, indicator table, charts, summary statistics, limitations, recommendations, and technical documentation.</w:t>
            </w:r>
          </w:p>
        </w:tc>
      </w:tr>
      <w:tr>
        <w:tc>
          <w:tcPr>
            <w:tcW w:type="dxa" w:w="5040"/>
            <w:vAlign w:val="center"/>
            <w:shd w:fill="F1F5F9"/>
          </w:tcPr>
          <w:p>
            <w:pPr>
              <w:spacing w:after="20"/>
            </w:pPr>
            <w:r/>
            <w:r>
              <w:rPr>
                <w:rFonts w:ascii="Aptos" w:hAnsi="Aptos"/>
                <w:b w:val="0"/>
                <w:sz w:val="15"/>
              </w:rPr>
              <w:t>Estimated effort</w:t>
            </w:r>
          </w:p>
        </w:tc>
        <w:tc>
          <w:tcPr>
            <w:tcW w:type="dxa" w:w="5040"/>
            <w:vAlign w:val="center"/>
            <w:shd w:fill="F1F5F9"/>
          </w:tcPr>
          <w:p>
            <w:pPr>
              <w:spacing w:after="20"/>
            </w:pPr>
            <w:r/>
            <w:r>
              <w:rPr>
                <w:rFonts w:ascii="Aptos" w:hAnsi="Aptos"/>
                <w:b w:val="0"/>
                <w:sz w:val="15"/>
              </w:rPr>
              <w:t>33 hours, within the assignment's 30–35-hour estimate.</w:t>
            </w:r>
          </w:p>
        </w:tc>
      </w:tr>
    </w:tbl>
    <w:p/>
    <w:p>
      <w:pPr>
        <w:pStyle w:val="Heading1"/>
      </w:pPr>
      <w:r>
        <w:t>1. Background and Problem Statement</w:t>
      </w:r>
    </w:p>
    <w:p>
      <w:r>
        <w:t>Digital public services can make government processes more accessible and efficient, but online availability alone does not show whether services are used successfully, delivered on time, or accessible to all groups. Public datasets often report different metrics, periods, and levels of geographic detail. A disciplined analytical workflow is therefore needed to avoid misleading comparisons and to convert raw figures into useful evidence.</w:t>
      </w:r>
    </w:p>
    <w:p>
      <w:r>
        <w:t>This project will use validated public data to describe measurable service patterns. It will not assume that a higher transaction count automatically means better performance, or that a correlation proves one factor caused another. Findings will be interpreted with source definitions, coverage, reporting changes, and known limitations.</w:t>
      </w:r>
    </w:p>
    <w:p>
      <w:pPr>
        <w:pStyle w:val="Heading1"/>
      </w:pPr>
      <w:r>
        <w:t>2. Objectives and Research Questions</w:t>
      </w:r>
    </w:p>
    <w:p>
      <w:pPr>
        <w:pStyle w:val="Heading2"/>
      </w:pPr>
      <w:r>
        <w:t>2.1 Objectives</w:t>
      </w:r>
    </w:p>
    <w:p>
      <w:pPr>
        <w:pStyle w:val="ListBullet"/>
        <w:spacing w:after="40"/>
      </w:pPr>
      <w:r>
        <w:t>Define key performance indicators (KPIs) relevant to digital service access, use, timeliness, reliability, and grievance handling.</w:t>
      </w:r>
    </w:p>
    <w:p>
      <w:pPr>
        <w:pStyle w:val="ListBullet"/>
        <w:spacing w:after="40"/>
      </w:pPr>
      <w:r>
        <w:t>Use Python to calculate descriptive summaries and produce clear, labelled visualizations.</w:t>
      </w:r>
    </w:p>
    <w:p>
      <w:pPr>
        <w:pStyle w:val="ListBullet"/>
        <w:spacing w:after="40"/>
      </w:pPr>
      <w:r>
        <w:t>Identify trends over time and meaningful differences between comparable service categories or geographic areas.</w:t>
      </w:r>
    </w:p>
    <w:p>
      <w:pPr>
        <w:pStyle w:val="ListBullet"/>
        <w:spacing w:after="40"/>
      </w:pPr>
      <w:r>
        <w:t>Assess whether selected aggregate indicators are associated, while avoiding unsupported causal claims.</w:t>
      </w:r>
    </w:p>
    <w:p>
      <w:pPr>
        <w:pStyle w:val="ListBullet"/>
        <w:spacing w:after="40"/>
      </w:pPr>
      <w:r>
        <w:t>Apply advanced statistical or machine-learning methods only when justified by sample size, variable definitions, and the research question.</w:t>
      </w:r>
    </w:p>
    <w:p>
      <w:pPr>
        <w:pStyle w:val="ListBullet"/>
        <w:spacing w:after="40"/>
      </w:pPr>
      <w:r>
        <w:t>Convert validated observations into practical recommendations for service monitoring, reporting, and improvement.</w:t>
      </w:r>
    </w:p>
    <w:p>
      <w:pPr>
        <w:pStyle w:val="ListBullet"/>
        <w:spacing w:after="40"/>
      </w:pPr>
      <w:r>
        <w:t>Create a reproducible workflow with documented code, sources, data-quality checks, and limitations.</w:t>
      </w:r>
    </w:p>
    <w:p>
      <w:pPr>
        <w:pStyle w:val="Heading2"/>
      </w:pPr>
      <w:r>
        <w:t>2.2 Research questions</w:t>
      </w:r>
    </w:p>
    <w:p>
      <w:pPr>
        <w:pStyle w:val="ListNumber"/>
        <w:spacing w:after="40"/>
      </w:pPr>
      <w:r>
        <w:t>How does reported usage of selected digital services change over the available reporting period?</w:t>
      </w:r>
    </w:p>
    <w:p>
      <w:pPr>
        <w:pStyle w:val="ListNumber"/>
        <w:spacing w:after="40"/>
      </w:pPr>
      <w:r>
        <w:t>Where data definitions are comparable, do service indicators vary by geography, service type, or reporting period?</w:t>
      </w:r>
    </w:p>
    <w:p>
      <w:pPr>
        <w:pStyle w:val="ListNumber"/>
        <w:spacing w:after="40"/>
      </w:pPr>
      <w:r>
        <w:t>What share of applications is completed within a published service standard, if both numerator and denominator are available?</w:t>
      </w:r>
    </w:p>
    <w:p>
      <w:pPr>
        <w:pStyle w:val="ListNumber"/>
        <w:spacing w:after="40"/>
      </w:pPr>
      <w:r>
        <w:t>Are aggregate connectivity or access indicators associated with digital-service uptake, and what alternative explanations may exist?</w:t>
      </w:r>
    </w:p>
    <w:p>
      <w:pPr>
        <w:pStyle w:val="ListNumber"/>
        <w:spacing w:after="40"/>
      </w:pPr>
      <w:r>
        <w:t>Which data gaps limit confidence in the analysis, and what additional reporting would improve future monitoring?</w:t>
      </w:r>
    </w:p>
    <w:p>
      <w:pPr>
        <w:pStyle w:val="Heading1"/>
      </w:pPr>
      <w:r>
        <w:t>3. KPI Framework</w:t>
      </w:r>
    </w:p>
    <w:p>
      <w:r>
        <w:t>Each KPI must have a precise definition, unit, period, geography, source, and denominator where relevant. Use only KPIs that can be calculated from the selected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6"/>
              </w:rPr>
              <w:t>KPI / indicator</w:t>
            </w:r>
          </w:p>
        </w:tc>
        <w:tc>
          <w:tcPr>
            <w:tcW w:type="dxa" w:w="3360"/>
            <w:vAlign w:val="center"/>
            <w:shd w:fill="17365D"/>
          </w:tcPr>
          <w:p>
            <w:pPr>
              <w:spacing w:after="20"/>
            </w:pPr>
            <w:r/>
            <w:r>
              <w:rPr>
                <w:rFonts w:ascii="Aptos" w:hAnsi="Aptos"/>
                <w:b/>
                <w:color w:val="FFFFFF"/>
                <w:sz w:val="16"/>
              </w:rPr>
              <w:t>Definition or formula</w:t>
            </w:r>
          </w:p>
        </w:tc>
        <w:tc>
          <w:tcPr>
            <w:tcW w:type="dxa" w:w="3360"/>
            <w:vAlign w:val="center"/>
            <w:shd w:fill="17365D"/>
          </w:tcPr>
          <w:p>
            <w:pPr>
              <w:spacing w:after="20"/>
            </w:pPr>
            <w:r/>
            <w:r>
              <w:rPr>
                <w:rFonts w:ascii="Aptos" w:hAnsi="Aptos"/>
                <w:b/>
                <w:color w:val="FFFFFF"/>
                <w:sz w:val="16"/>
              </w:rPr>
              <w:t>Interpretation caution</w:t>
            </w:r>
          </w:p>
        </w:tc>
      </w:tr>
      <w:tr>
        <w:tc>
          <w:tcPr>
            <w:tcW w:type="dxa" w:w="3360"/>
            <w:vAlign w:val="center"/>
          </w:tcPr>
          <w:p>
            <w:pPr>
              <w:spacing w:after="20"/>
            </w:pPr>
            <w:r/>
            <w:r>
              <w:rPr>
                <w:rFonts w:ascii="Aptos" w:hAnsi="Aptos"/>
                <w:b w:val="0"/>
                <w:sz w:val="15"/>
              </w:rPr>
              <w:t>Transaction volume</w:t>
            </w:r>
          </w:p>
        </w:tc>
        <w:tc>
          <w:tcPr>
            <w:tcW w:type="dxa" w:w="3360"/>
            <w:vAlign w:val="center"/>
          </w:tcPr>
          <w:p>
            <w:pPr>
              <w:spacing w:after="20"/>
            </w:pPr>
            <w:r/>
            <w:r>
              <w:rPr>
                <w:rFonts w:ascii="Aptos" w:hAnsi="Aptos"/>
                <w:b w:val="0"/>
                <w:sz w:val="15"/>
              </w:rPr>
              <w:t>Count of transactions in a defined period.</w:t>
            </w:r>
          </w:p>
        </w:tc>
        <w:tc>
          <w:tcPr>
            <w:tcW w:type="dxa" w:w="3360"/>
            <w:vAlign w:val="center"/>
          </w:tcPr>
          <w:p>
            <w:pPr>
              <w:spacing w:after="20"/>
            </w:pPr>
            <w:r/>
            <w:r>
              <w:rPr>
                <w:rFonts w:ascii="Aptos" w:hAnsi="Aptos"/>
                <w:b w:val="0"/>
                <w:sz w:val="15"/>
              </w:rPr>
              <w:t>Volume alone does not measure service quality; consider population, eligibility, and channel coverage.</w:t>
            </w:r>
          </w:p>
        </w:tc>
      </w:tr>
      <w:tr>
        <w:tc>
          <w:tcPr>
            <w:tcW w:type="dxa" w:w="3360"/>
            <w:vAlign w:val="center"/>
            <w:shd w:fill="F1F5F9"/>
          </w:tcPr>
          <w:p>
            <w:pPr>
              <w:spacing w:after="20"/>
            </w:pPr>
            <w:r/>
            <w:r>
              <w:rPr>
                <w:rFonts w:ascii="Aptos" w:hAnsi="Aptos"/>
                <w:b w:val="0"/>
                <w:sz w:val="15"/>
              </w:rPr>
              <w:t>Period-over-period change</w:t>
            </w:r>
          </w:p>
        </w:tc>
        <w:tc>
          <w:tcPr>
            <w:tcW w:type="dxa" w:w="3360"/>
            <w:vAlign w:val="center"/>
            <w:shd w:fill="F1F5F9"/>
          </w:tcPr>
          <w:p>
            <w:pPr>
              <w:spacing w:after="20"/>
            </w:pPr>
            <w:r/>
            <w:r>
              <w:rPr>
                <w:rFonts w:ascii="Aptos" w:hAnsi="Aptos"/>
                <w:b w:val="0"/>
                <w:sz w:val="15"/>
              </w:rPr>
              <w:t>((Current period value − prior period value) / prior period value) × 100.</w:t>
            </w:r>
          </w:p>
        </w:tc>
        <w:tc>
          <w:tcPr>
            <w:tcW w:type="dxa" w:w="3360"/>
            <w:vAlign w:val="center"/>
            <w:shd w:fill="F1F5F9"/>
          </w:tcPr>
          <w:p>
            <w:pPr>
              <w:spacing w:after="20"/>
            </w:pPr>
            <w:r/>
            <w:r>
              <w:rPr>
                <w:rFonts w:ascii="Aptos" w:hAnsi="Aptos"/>
                <w:b w:val="0"/>
                <w:sz w:val="15"/>
              </w:rPr>
              <w:t>Undefined when the prior value is zero; note seasonal or reporting changes.</w:t>
            </w:r>
          </w:p>
        </w:tc>
      </w:tr>
      <w:tr>
        <w:tc>
          <w:tcPr>
            <w:tcW w:type="dxa" w:w="3360"/>
            <w:vAlign w:val="center"/>
          </w:tcPr>
          <w:p>
            <w:pPr>
              <w:spacing w:after="20"/>
            </w:pPr>
            <w:r/>
            <w:r>
              <w:rPr>
                <w:rFonts w:ascii="Aptos" w:hAnsi="Aptos"/>
                <w:b w:val="0"/>
                <w:sz w:val="15"/>
              </w:rPr>
              <w:t>Completion rate</w:t>
            </w:r>
          </w:p>
        </w:tc>
        <w:tc>
          <w:tcPr>
            <w:tcW w:type="dxa" w:w="3360"/>
            <w:vAlign w:val="center"/>
          </w:tcPr>
          <w:p>
            <w:pPr>
              <w:spacing w:after="20"/>
            </w:pPr>
            <w:r/>
            <w:r>
              <w:rPr>
                <w:rFonts w:ascii="Aptos" w:hAnsi="Aptos"/>
                <w:b w:val="0"/>
                <w:sz w:val="15"/>
              </w:rPr>
              <w:t>Completed applications / total eligible applications × 100.</w:t>
            </w:r>
          </w:p>
        </w:tc>
        <w:tc>
          <w:tcPr>
            <w:tcW w:type="dxa" w:w="3360"/>
            <w:vAlign w:val="center"/>
          </w:tcPr>
          <w:p>
            <w:pPr>
              <w:spacing w:after="20"/>
            </w:pPr>
            <w:r/>
            <w:r>
              <w:rPr>
                <w:rFonts w:ascii="Aptos" w:hAnsi="Aptos"/>
                <w:b w:val="0"/>
                <w:sz w:val="15"/>
              </w:rPr>
              <w:t>Requires compatible definitions and complete numerator/denominator.</w:t>
            </w:r>
          </w:p>
        </w:tc>
      </w:tr>
      <w:tr>
        <w:tc>
          <w:tcPr>
            <w:tcW w:type="dxa" w:w="3360"/>
            <w:vAlign w:val="center"/>
            <w:shd w:fill="F1F5F9"/>
          </w:tcPr>
          <w:p>
            <w:pPr>
              <w:spacing w:after="20"/>
            </w:pPr>
            <w:r/>
            <w:r>
              <w:rPr>
                <w:rFonts w:ascii="Aptos" w:hAnsi="Aptos"/>
                <w:b w:val="0"/>
                <w:sz w:val="15"/>
              </w:rPr>
              <w:t>On-time completion rate</w:t>
            </w:r>
          </w:p>
        </w:tc>
        <w:tc>
          <w:tcPr>
            <w:tcW w:type="dxa" w:w="3360"/>
            <w:vAlign w:val="center"/>
            <w:shd w:fill="F1F5F9"/>
          </w:tcPr>
          <w:p>
            <w:pPr>
              <w:spacing w:after="20"/>
            </w:pPr>
            <w:r/>
            <w:r>
              <w:rPr>
                <w:rFonts w:ascii="Aptos" w:hAnsi="Aptos"/>
                <w:b w:val="0"/>
                <w:sz w:val="15"/>
              </w:rPr>
              <w:t>Applications completed within the published standard / eligible completed applications × 100, if source defines this denominator.</w:t>
            </w:r>
          </w:p>
        </w:tc>
        <w:tc>
          <w:tcPr>
            <w:tcW w:type="dxa" w:w="3360"/>
            <w:vAlign w:val="center"/>
            <w:shd w:fill="F1F5F9"/>
          </w:tcPr>
          <w:p>
            <w:pPr>
              <w:spacing w:after="20"/>
            </w:pPr>
            <w:r/>
            <w:r>
              <w:rPr>
                <w:rFonts w:ascii="Aptos" w:hAnsi="Aptos"/>
                <w:b w:val="0"/>
                <w:sz w:val="15"/>
              </w:rPr>
              <w:t>Use the source's official definition; do not infer missing timing data.</w:t>
            </w:r>
          </w:p>
        </w:tc>
      </w:tr>
      <w:tr>
        <w:tc>
          <w:tcPr>
            <w:tcW w:type="dxa" w:w="3360"/>
            <w:vAlign w:val="center"/>
          </w:tcPr>
          <w:p>
            <w:pPr>
              <w:spacing w:after="20"/>
            </w:pPr>
            <w:r/>
            <w:r>
              <w:rPr>
                <w:rFonts w:ascii="Aptos" w:hAnsi="Aptos"/>
                <w:b w:val="0"/>
                <w:sz w:val="15"/>
              </w:rPr>
              <w:t>Grievance resolution rate</w:t>
            </w:r>
          </w:p>
        </w:tc>
        <w:tc>
          <w:tcPr>
            <w:tcW w:type="dxa" w:w="3360"/>
            <w:vAlign w:val="center"/>
          </w:tcPr>
          <w:p>
            <w:pPr>
              <w:spacing w:after="20"/>
            </w:pPr>
            <w:r/>
            <w:r>
              <w:rPr>
                <w:rFonts w:ascii="Aptos" w:hAnsi="Aptos"/>
                <w:b w:val="0"/>
                <w:sz w:val="15"/>
              </w:rPr>
              <w:t>Grievances resolved during the period / grievances received during the period × 100, only if the reporting definition supports this calculation.</w:t>
            </w:r>
          </w:p>
        </w:tc>
        <w:tc>
          <w:tcPr>
            <w:tcW w:type="dxa" w:w="3360"/>
            <w:vAlign w:val="center"/>
          </w:tcPr>
          <w:p>
            <w:pPr>
              <w:spacing w:after="20"/>
            </w:pPr>
            <w:r/>
            <w:r>
              <w:rPr>
                <w:rFonts w:ascii="Aptos" w:hAnsi="Aptos"/>
                <w:b w:val="0"/>
                <w:sz w:val="15"/>
              </w:rPr>
              <w:t>Resolved and received counts may refer to different cohorts; check backlog and carryover.</w:t>
            </w:r>
          </w:p>
        </w:tc>
      </w:tr>
      <w:tr>
        <w:tc>
          <w:tcPr>
            <w:tcW w:type="dxa" w:w="3360"/>
            <w:vAlign w:val="center"/>
            <w:shd w:fill="F1F5F9"/>
          </w:tcPr>
          <w:p>
            <w:pPr>
              <w:spacing w:after="20"/>
            </w:pPr>
            <w:r/>
            <w:r>
              <w:rPr>
                <w:rFonts w:ascii="Aptos" w:hAnsi="Aptos"/>
                <w:b w:val="0"/>
                <w:sz w:val="15"/>
              </w:rPr>
              <w:t>Average/median processing time</w:t>
            </w:r>
          </w:p>
        </w:tc>
        <w:tc>
          <w:tcPr>
            <w:tcW w:type="dxa" w:w="3360"/>
            <w:vAlign w:val="center"/>
            <w:shd w:fill="F1F5F9"/>
          </w:tcPr>
          <w:p>
            <w:pPr>
              <w:spacing w:after="20"/>
            </w:pPr>
            <w:r/>
            <w:r>
              <w:rPr>
                <w:rFonts w:ascii="Aptos" w:hAnsi="Aptos"/>
                <w:b w:val="0"/>
                <w:sz w:val="15"/>
              </w:rPr>
              <w:t>Mean or median elapsed time from a defined start to end event.</w:t>
            </w:r>
          </w:p>
        </w:tc>
        <w:tc>
          <w:tcPr>
            <w:tcW w:type="dxa" w:w="3360"/>
            <w:vAlign w:val="center"/>
            <w:shd w:fill="F1F5F9"/>
          </w:tcPr>
          <w:p>
            <w:pPr>
              <w:spacing w:after="20"/>
            </w:pPr>
            <w:r/>
            <w:r>
              <w:rPr>
                <w:rFonts w:ascii="Aptos" w:hAnsi="Aptos"/>
                <w:b w:val="0"/>
                <w:sz w:val="15"/>
              </w:rPr>
              <w:t>Median is often more robust to long delays; source definitions must match.</w:t>
            </w:r>
          </w:p>
        </w:tc>
      </w:tr>
      <w:tr>
        <w:tc>
          <w:tcPr>
            <w:tcW w:type="dxa" w:w="3360"/>
            <w:vAlign w:val="center"/>
          </w:tcPr>
          <w:p>
            <w:pPr>
              <w:spacing w:after="20"/>
            </w:pPr>
            <w:r/>
            <w:r>
              <w:rPr>
                <w:rFonts w:ascii="Aptos" w:hAnsi="Aptos"/>
                <w:b w:val="0"/>
                <w:sz w:val="15"/>
              </w:rPr>
              <w:t>Backlog</w:t>
            </w:r>
          </w:p>
        </w:tc>
        <w:tc>
          <w:tcPr>
            <w:tcW w:type="dxa" w:w="3360"/>
            <w:vAlign w:val="center"/>
          </w:tcPr>
          <w:p>
            <w:pPr>
              <w:spacing w:after="20"/>
            </w:pPr>
            <w:r/>
            <w:r>
              <w:rPr>
                <w:rFonts w:ascii="Aptos" w:hAnsi="Aptos"/>
                <w:b w:val="0"/>
                <w:sz w:val="15"/>
              </w:rPr>
              <w:t>Pending applications or complaints at a specified date.</w:t>
            </w:r>
          </w:p>
        </w:tc>
        <w:tc>
          <w:tcPr>
            <w:tcW w:type="dxa" w:w="3360"/>
            <w:vAlign w:val="center"/>
          </w:tcPr>
          <w:p>
            <w:pPr>
              <w:spacing w:after="20"/>
            </w:pPr>
            <w:r/>
            <w:r>
              <w:rPr>
                <w:rFonts w:ascii="Aptos" w:hAnsi="Aptos"/>
                <w:b w:val="0"/>
                <w:sz w:val="15"/>
              </w:rPr>
              <w:t>A point-in-time stock should not be treated as a period flow.</w:t>
            </w:r>
          </w:p>
        </w:tc>
      </w:tr>
      <w:tr>
        <w:tc>
          <w:tcPr>
            <w:tcW w:type="dxa" w:w="3360"/>
            <w:vAlign w:val="center"/>
            <w:shd w:fill="F1F5F9"/>
          </w:tcPr>
          <w:p>
            <w:pPr>
              <w:spacing w:after="20"/>
            </w:pPr>
            <w:r/>
            <w:r>
              <w:rPr>
                <w:rFonts w:ascii="Aptos" w:hAnsi="Aptos"/>
                <w:b w:val="0"/>
                <w:sz w:val="15"/>
              </w:rPr>
              <w:t>Data completeness</w:t>
            </w:r>
          </w:p>
        </w:tc>
        <w:tc>
          <w:tcPr>
            <w:tcW w:type="dxa" w:w="3360"/>
            <w:vAlign w:val="center"/>
            <w:shd w:fill="F1F5F9"/>
          </w:tcPr>
          <w:p>
            <w:pPr>
              <w:spacing w:after="20"/>
            </w:pPr>
            <w:r/>
            <w:r>
              <w:rPr>
                <w:rFonts w:ascii="Aptos" w:hAnsi="Aptos"/>
                <w:b w:val="0"/>
                <w:sz w:val="15"/>
              </w:rPr>
              <w:t>Non-missing required values / expected required values × 100.</w:t>
            </w:r>
          </w:p>
        </w:tc>
        <w:tc>
          <w:tcPr>
            <w:tcW w:type="dxa" w:w="3360"/>
            <w:vAlign w:val="center"/>
            <w:shd w:fill="F1F5F9"/>
          </w:tcPr>
          <w:p>
            <w:pPr>
              <w:spacing w:after="20"/>
            </w:pPr>
            <w:r/>
            <w:r>
              <w:rPr>
                <w:rFonts w:ascii="Aptos" w:hAnsi="Aptos"/>
                <w:b w:val="0"/>
                <w:sz w:val="15"/>
              </w:rPr>
              <w:t>Define expected coverage before calculating.</w:t>
            </w:r>
          </w:p>
        </w:tc>
      </w:tr>
      <w:tr>
        <w:tc>
          <w:tcPr>
            <w:tcW w:type="dxa" w:w="3360"/>
            <w:vAlign w:val="center"/>
          </w:tcPr>
          <w:p>
            <w:pPr>
              <w:spacing w:after="20"/>
            </w:pPr>
            <w:r/>
            <w:r>
              <w:rPr>
                <w:rFonts w:ascii="Aptos" w:hAnsi="Aptos"/>
                <w:b w:val="0"/>
                <w:sz w:val="15"/>
              </w:rPr>
              <w:t>Digital access context</w:t>
            </w:r>
          </w:p>
        </w:tc>
        <w:tc>
          <w:tcPr>
            <w:tcW w:type="dxa" w:w="3360"/>
            <w:vAlign w:val="center"/>
          </w:tcPr>
          <w:p>
            <w:pPr>
              <w:spacing w:after="20"/>
            </w:pPr>
            <w:r/>
            <w:r>
              <w:rPr>
                <w:rFonts w:ascii="Aptos" w:hAnsi="Aptos"/>
                <w:b w:val="0"/>
                <w:sz w:val="15"/>
              </w:rPr>
              <w:t>Published aggregate connectivity/access measure for the same geography and a suitable period.</w:t>
            </w:r>
          </w:p>
        </w:tc>
        <w:tc>
          <w:tcPr>
            <w:tcW w:type="dxa" w:w="3360"/>
            <w:vAlign w:val="center"/>
          </w:tcPr>
          <w:p>
            <w:pPr>
              <w:spacing w:after="20"/>
            </w:pPr>
            <w:r/>
            <w:r>
              <w:rPr>
                <w:rFonts w:ascii="Aptos" w:hAnsi="Aptos"/>
                <w:b w:val="0"/>
                <w:sz w:val="15"/>
              </w:rPr>
              <w:t>Contextual association does not prove that access caused service uptake.</w:t>
            </w:r>
          </w:p>
        </w:tc>
      </w:tr>
    </w:tbl>
    <w:p/>
    <w:p>
      <w:pPr>
        <w:pStyle w:val="Heading2"/>
      </w:pPr>
      <w:r>
        <w:t>3.1 KPI governance</w:t>
      </w:r>
    </w:p>
    <w:p>
      <w:pPr>
        <w:pStyle w:val="ListBullet"/>
        <w:spacing w:after="40"/>
      </w:pPr>
      <w:r>
        <w:t>Create a data dictionary with exact source wording and units.</w:t>
      </w:r>
    </w:p>
    <w:p>
      <w:pPr>
        <w:pStyle w:val="ListBullet"/>
        <w:spacing w:after="40"/>
      </w:pPr>
      <w:r>
        <w:t>Avoid comparing rates when denominators differ or are unknown.</w:t>
      </w:r>
    </w:p>
    <w:p>
      <w:pPr>
        <w:pStyle w:val="ListBullet"/>
        <w:spacing w:after="40"/>
      </w:pPr>
      <w:r>
        <w:t>Document source revisions and changes in service definitions.</w:t>
      </w:r>
    </w:p>
    <w:p>
      <w:pPr>
        <w:pStyle w:val="ListBullet"/>
        <w:spacing w:after="40"/>
      </w:pPr>
      <w:r>
        <w:t>Display counts and rates together where helpful.</w:t>
      </w:r>
    </w:p>
    <w:p>
      <w:pPr>
        <w:pStyle w:val="ListBullet"/>
        <w:spacing w:after="40"/>
      </w:pPr>
      <w:r>
        <w:t>Flag incomplete coverage and suppress misleading rankings when comparisons are not fair.</w:t>
      </w:r>
    </w:p>
    <w:p>
      <w:pPr>
        <w:pStyle w:val="Heading1"/>
      </w:pPr>
      <w:r>
        <w:t>4. Data Analysis Methodology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6"/>
              </w:rPr>
              <w:t>Method</w:t>
            </w:r>
          </w:p>
        </w:tc>
        <w:tc>
          <w:tcPr>
            <w:tcW w:type="dxa" w:w="3360"/>
            <w:vAlign w:val="center"/>
            <w:shd w:fill="17365D"/>
          </w:tcPr>
          <w:p>
            <w:pPr>
              <w:spacing w:after="20"/>
            </w:pPr>
            <w:r/>
            <w:r>
              <w:rPr>
                <w:rFonts w:ascii="Aptos" w:hAnsi="Aptos"/>
                <w:b/>
                <w:color w:val="FFFFFF"/>
                <w:sz w:val="16"/>
              </w:rPr>
              <w:t>Implementation idea</w:t>
            </w:r>
          </w:p>
        </w:tc>
        <w:tc>
          <w:tcPr>
            <w:tcW w:type="dxa" w:w="3360"/>
            <w:vAlign w:val="center"/>
            <w:shd w:fill="17365D"/>
          </w:tcPr>
          <w:p>
            <w:pPr>
              <w:spacing w:after="20"/>
            </w:pPr>
            <w:r/>
            <w:r>
              <w:rPr>
                <w:rFonts w:ascii="Aptos" w:hAnsi="Aptos"/>
                <w:b/>
                <w:color w:val="FFFFFF"/>
                <w:sz w:val="16"/>
              </w:rPr>
              <w:t>When appropriate / limitation</w:t>
            </w:r>
          </w:p>
        </w:tc>
      </w:tr>
      <w:tr>
        <w:tc>
          <w:tcPr>
            <w:tcW w:type="dxa" w:w="3360"/>
            <w:vAlign w:val="center"/>
          </w:tcPr>
          <w:p>
            <w:pPr>
              <w:spacing w:after="20"/>
            </w:pPr>
            <w:r/>
            <w:r>
              <w:rPr>
                <w:rFonts w:ascii="Aptos" w:hAnsi="Aptos"/>
                <w:b w:val="0"/>
                <w:sz w:val="15"/>
              </w:rPr>
              <w:t>Descriptive statistics</w:t>
            </w:r>
          </w:p>
        </w:tc>
        <w:tc>
          <w:tcPr>
            <w:tcW w:type="dxa" w:w="3360"/>
            <w:vAlign w:val="center"/>
          </w:tcPr>
          <w:p>
            <w:pPr>
              <w:spacing w:after="20"/>
            </w:pPr>
            <w:r/>
            <w:r>
              <w:rPr>
                <w:rFonts w:ascii="Aptos" w:hAnsi="Aptos"/>
                <w:b w:val="0"/>
                <w:sz w:val="15"/>
              </w:rPr>
              <w:t>Count, sum, mean, median, standard deviation, quartiles, minimum and maximum.</w:t>
            </w:r>
          </w:p>
        </w:tc>
        <w:tc>
          <w:tcPr>
            <w:tcW w:type="dxa" w:w="3360"/>
            <w:vAlign w:val="center"/>
          </w:tcPr>
          <w:p>
            <w:pPr>
              <w:spacing w:after="20"/>
            </w:pPr>
            <w:r/>
            <w:r>
              <w:rPr>
                <w:rFonts w:ascii="Aptos" w:hAnsi="Aptos"/>
                <w:b w:val="0"/>
                <w:sz w:val="15"/>
              </w:rPr>
              <w:t>First-line analysis to understand scale and distribution.</w:t>
            </w:r>
          </w:p>
        </w:tc>
      </w:tr>
      <w:tr>
        <w:tc>
          <w:tcPr>
            <w:tcW w:type="dxa" w:w="3360"/>
            <w:vAlign w:val="center"/>
            <w:shd w:fill="F1F5F9"/>
          </w:tcPr>
          <w:p>
            <w:pPr>
              <w:spacing w:after="20"/>
            </w:pPr>
            <w:r/>
            <w:r>
              <w:rPr>
                <w:rFonts w:ascii="Aptos" w:hAnsi="Aptos"/>
                <w:b w:val="0"/>
                <w:sz w:val="15"/>
              </w:rPr>
              <w:t>Frequency analysis</w:t>
            </w:r>
          </w:p>
        </w:tc>
        <w:tc>
          <w:tcPr>
            <w:tcW w:type="dxa" w:w="3360"/>
            <w:vAlign w:val="center"/>
            <w:shd w:fill="F1F5F9"/>
          </w:tcPr>
          <w:p>
            <w:pPr>
              <w:spacing w:after="20"/>
            </w:pPr>
            <w:r/>
            <w:r>
              <w:rPr>
                <w:rFonts w:ascii="Aptos" w:hAnsi="Aptos"/>
                <w:b w:val="0"/>
                <w:sz w:val="15"/>
              </w:rPr>
              <w:t>Value counts for service type, state, status, or category.</w:t>
            </w:r>
          </w:p>
        </w:tc>
        <w:tc>
          <w:tcPr>
            <w:tcW w:type="dxa" w:w="3360"/>
            <w:vAlign w:val="center"/>
            <w:shd w:fill="F1F5F9"/>
          </w:tcPr>
          <w:p>
            <w:pPr>
              <w:spacing w:after="20"/>
            </w:pPr>
            <w:r/>
            <w:r>
              <w:rPr>
                <w:rFonts w:ascii="Aptos" w:hAnsi="Aptos"/>
                <w:b w:val="0"/>
                <w:sz w:val="15"/>
              </w:rPr>
              <w:t>Useful for categorical distributions; check category definitions.</w:t>
            </w:r>
          </w:p>
        </w:tc>
      </w:tr>
      <w:tr>
        <w:tc>
          <w:tcPr>
            <w:tcW w:type="dxa" w:w="3360"/>
            <w:vAlign w:val="center"/>
          </w:tcPr>
          <w:p>
            <w:pPr>
              <w:spacing w:after="20"/>
            </w:pPr>
            <w:r/>
            <w:r>
              <w:rPr>
                <w:rFonts w:ascii="Aptos" w:hAnsi="Aptos"/>
                <w:b w:val="0"/>
                <w:sz w:val="15"/>
              </w:rPr>
              <w:t>Trend analysis</w:t>
            </w:r>
          </w:p>
        </w:tc>
        <w:tc>
          <w:tcPr>
            <w:tcW w:type="dxa" w:w="3360"/>
            <w:vAlign w:val="center"/>
          </w:tcPr>
          <w:p>
            <w:pPr>
              <w:spacing w:after="20"/>
            </w:pPr>
            <w:r/>
            <w:r>
              <w:rPr>
                <w:rFonts w:ascii="Aptos" w:hAnsi="Aptos"/>
                <w:b w:val="0"/>
                <w:sz w:val="15"/>
              </w:rPr>
              <w:t>Group by month/quarter/year and plot values over time.</w:t>
            </w:r>
          </w:p>
        </w:tc>
        <w:tc>
          <w:tcPr>
            <w:tcW w:type="dxa" w:w="3360"/>
            <w:vAlign w:val="center"/>
          </w:tcPr>
          <w:p>
            <w:pPr>
              <w:spacing w:after="20"/>
            </w:pPr>
            <w:r/>
            <w:r>
              <w:rPr>
                <w:rFonts w:ascii="Aptos" w:hAnsi="Aptos"/>
                <w:b w:val="0"/>
                <w:sz w:val="15"/>
              </w:rPr>
              <w:t>Requires consistent time periods and definitions; consider seasonality.</w:t>
            </w:r>
          </w:p>
        </w:tc>
      </w:tr>
      <w:tr>
        <w:tc>
          <w:tcPr>
            <w:tcW w:type="dxa" w:w="3360"/>
            <w:vAlign w:val="center"/>
            <w:shd w:fill="F1F5F9"/>
          </w:tcPr>
          <w:p>
            <w:pPr>
              <w:spacing w:after="20"/>
            </w:pPr>
            <w:r/>
            <w:r>
              <w:rPr>
                <w:rFonts w:ascii="Aptos" w:hAnsi="Aptos"/>
                <w:b w:val="0"/>
                <w:sz w:val="15"/>
              </w:rPr>
              <w:t>Rate analysis</w:t>
            </w:r>
          </w:p>
        </w:tc>
        <w:tc>
          <w:tcPr>
            <w:tcW w:type="dxa" w:w="3360"/>
            <w:vAlign w:val="center"/>
            <w:shd w:fill="F1F5F9"/>
          </w:tcPr>
          <w:p>
            <w:pPr>
              <w:spacing w:after="20"/>
            </w:pPr>
            <w:r/>
            <w:r>
              <w:rPr>
                <w:rFonts w:ascii="Aptos" w:hAnsi="Aptos"/>
                <w:b w:val="0"/>
                <w:sz w:val="15"/>
              </w:rPr>
              <w:t>Calculate proportions using valid numerator and denominator fields.</w:t>
            </w:r>
          </w:p>
        </w:tc>
        <w:tc>
          <w:tcPr>
            <w:tcW w:type="dxa" w:w="3360"/>
            <w:vAlign w:val="center"/>
            <w:shd w:fill="F1F5F9"/>
          </w:tcPr>
          <w:p>
            <w:pPr>
              <w:spacing w:after="20"/>
            </w:pPr>
            <w:r/>
            <w:r>
              <w:rPr>
                <w:rFonts w:ascii="Aptos" w:hAnsi="Aptos"/>
                <w:b w:val="0"/>
                <w:sz w:val="15"/>
              </w:rPr>
              <w:t>Only where source definitions and denominators are defensible.</w:t>
            </w:r>
          </w:p>
        </w:tc>
      </w:tr>
      <w:tr>
        <w:tc>
          <w:tcPr>
            <w:tcW w:type="dxa" w:w="3360"/>
            <w:vAlign w:val="center"/>
          </w:tcPr>
          <w:p>
            <w:pPr>
              <w:spacing w:after="20"/>
            </w:pPr>
            <w:r/>
            <w:r>
              <w:rPr>
                <w:rFonts w:ascii="Aptos" w:hAnsi="Aptos"/>
                <w:b w:val="0"/>
                <w:sz w:val="15"/>
              </w:rPr>
              <w:t>Group comparison</w:t>
            </w:r>
          </w:p>
        </w:tc>
        <w:tc>
          <w:tcPr>
            <w:tcW w:type="dxa" w:w="3360"/>
            <w:vAlign w:val="center"/>
          </w:tcPr>
          <w:p>
            <w:pPr>
              <w:spacing w:after="20"/>
            </w:pPr>
            <w:r/>
            <w:r>
              <w:rPr>
                <w:rFonts w:ascii="Aptos" w:hAnsi="Aptos"/>
                <w:b w:val="0"/>
                <w:sz w:val="15"/>
              </w:rPr>
              <w:t>Compare medians, means, or rates across compatible regions/services.</w:t>
            </w:r>
          </w:p>
        </w:tc>
        <w:tc>
          <w:tcPr>
            <w:tcW w:type="dxa" w:w="3360"/>
            <w:vAlign w:val="center"/>
          </w:tcPr>
          <w:p>
            <w:pPr>
              <w:spacing w:after="20"/>
            </w:pPr>
            <w:r/>
            <w:r>
              <w:rPr>
                <w:rFonts w:ascii="Aptos" w:hAnsi="Aptos"/>
                <w:b w:val="0"/>
                <w:sz w:val="15"/>
              </w:rPr>
              <w:t>Check sample sizes, coverage, and confounding context.</w:t>
            </w:r>
          </w:p>
        </w:tc>
      </w:tr>
      <w:tr>
        <w:tc>
          <w:tcPr>
            <w:tcW w:type="dxa" w:w="3360"/>
            <w:vAlign w:val="center"/>
            <w:shd w:fill="F1F5F9"/>
          </w:tcPr>
          <w:p>
            <w:pPr>
              <w:spacing w:after="20"/>
            </w:pPr>
            <w:r/>
            <w:r>
              <w:rPr>
                <w:rFonts w:ascii="Aptos" w:hAnsi="Aptos"/>
                <w:b w:val="0"/>
                <w:sz w:val="15"/>
              </w:rPr>
              <w:t>Correlation</w:t>
            </w:r>
          </w:p>
        </w:tc>
        <w:tc>
          <w:tcPr>
            <w:tcW w:type="dxa" w:w="3360"/>
            <w:vAlign w:val="center"/>
            <w:shd w:fill="F1F5F9"/>
          </w:tcPr>
          <w:p>
            <w:pPr>
              <w:spacing w:after="20"/>
            </w:pPr>
            <w:r/>
            <w:r>
              <w:rPr>
                <w:rFonts w:ascii="Aptos" w:hAnsi="Aptos"/>
                <w:b w:val="0"/>
                <w:sz w:val="15"/>
              </w:rPr>
              <w:t>Pearson for approximately linear numeric relationships; Spearman for monotonic/rank relationships.</w:t>
            </w:r>
          </w:p>
        </w:tc>
        <w:tc>
          <w:tcPr>
            <w:tcW w:type="dxa" w:w="3360"/>
            <w:vAlign w:val="center"/>
            <w:shd w:fill="F1F5F9"/>
          </w:tcPr>
          <w:p>
            <w:pPr>
              <w:spacing w:after="20"/>
            </w:pPr>
            <w:r/>
            <w:r>
              <w:rPr>
                <w:rFonts w:ascii="Aptos" w:hAnsi="Aptos"/>
                <w:b w:val="0"/>
                <w:sz w:val="15"/>
              </w:rPr>
              <w:t>Exploratory association only; outliers and confounding can mislead.</w:t>
            </w:r>
          </w:p>
        </w:tc>
      </w:tr>
      <w:tr>
        <w:tc>
          <w:tcPr>
            <w:tcW w:type="dxa" w:w="3360"/>
            <w:vAlign w:val="center"/>
          </w:tcPr>
          <w:p>
            <w:pPr>
              <w:spacing w:after="20"/>
            </w:pPr>
            <w:r/>
            <w:r>
              <w:rPr>
                <w:rFonts w:ascii="Aptos" w:hAnsi="Aptos"/>
                <w:b w:val="0"/>
                <w:sz w:val="15"/>
              </w:rPr>
              <w:t>Hypothesis testing</w:t>
            </w:r>
          </w:p>
        </w:tc>
        <w:tc>
          <w:tcPr>
            <w:tcW w:type="dxa" w:w="3360"/>
            <w:vAlign w:val="center"/>
          </w:tcPr>
          <w:p>
            <w:pPr>
              <w:spacing w:after="20"/>
            </w:pPr>
            <w:r/>
            <w:r>
              <w:rPr>
                <w:rFonts w:ascii="Aptos" w:hAnsi="Aptos"/>
                <w:b w:val="0"/>
                <w:sz w:val="15"/>
              </w:rPr>
              <w:t>Use a suitable test such as a t-test, Mann–Whitney U, chi-square, or ANOVA where assumptions are met.</w:t>
            </w:r>
          </w:p>
        </w:tc>
        <w:tc>
          <w:tcPr>
            <w:tcW w:type="dxa" w:w="3360"/>
            <w:vAlign w:val="center"/>
          </w:tcPr>
          <w:p>
            <w:pPr>
              <w:spacing w:after="20"/>
            </w:pPr>
            <w:r/>
            <w:r>
              <w:rPr>
                <w:rFonts w:ascii="Aptos" w:hAnsi="Aptos"/>
                <w:b w:val="0"/>
                <w:sz w:val="15"/>
              </w:rPr>
              <w:t>State hypotheses, assumptions, effect size, and uncertainty; avoid testing many comparisons without correction.</w:t>
            </w:r>
          </w:p>
        </w:tc>
      </w:tr>
      <w:tr>
        <w:tc>
          <w:tcPr>
            <w:tcW w:type="dxa" w:w="3360"/>
            <w:vAlign w:val="center"/>
            <w:shd w:fill="F1F5F9"/>
          </w:tcPr>
          <w:p>
            <w:pPr>
              <w:spacing w:after="20"/>
            </w:pPr>
            <w:r/>
            <w:r>
              <w:rPr>
                <w:rFonts w:ascii="Aptos" w:hAnsi="Aptos"/>
                <w:b w:val="0"/>
                <w:sz w:val="15"/>
              </w:rPr>
              <w:t>Regression</w:t>
            </w:r>
          </w:p>
        </w:tc>
        <w:tc>
          <w:tcPr>
            <w:tcW w:type="dxa" w:w="3360"/>
            <w:vAlign w:val="center"/>
            <w:shd w:fill="F1F5F9"/>
          </w:tcPr>
          <w:p>
            <w:pPr>
              <w:spacing w:after="20"/>
            </w:pPr>
            <w:r/>
            <w:r>
              <w:rPr>
                <w:rFonts w:ascii="Aptos" w:hAnsi="Aptos"/>
                <w:b w:val="0"/>
                <w:sz w:val="15"/>
              </w:rPr>
              <w:t>Linear or other appropriate model to estimate associations with defined predictors and outcome.</w:t>
            </w:r>
          </w:p>
        </w:tc>
        <w:tc>
          <w:tcPr>
            <w:tcW w:type="dxa" w:w="3360"/>
            <w:vAlign w:val="center"/>
            <w:shd w:fill="F1F5F9"/>
          </w:tcPr>
          <w:p>
            <w:pPr>
              <w:spacing w:after="20"/>
            </w:pPr>
            <w:r/>
            <w:r>
              <w:rPr>
                <w:rFonts w:ascii="Aptos" w:hAnsi="Aptos"/>
                <w:b w:val="0"/>
                <w:sz w:val="15"/>
              </w:rPr>
              <w:t>Requires adequate observations, diagnostic checks, and careful interpretation; observational models do not establish causality.</w:t>
            </w:r>
          </w:p>
        </w:tc>
      </w:tr>
      <w:tr>
        <w:tc>
          <w:tcPr>
            <w:tcW w:type="dxa" w:w="3360"/>
            <w:vAlign w:val="center"/>
          </w:tcPr>
          <w:p>
            <w:pPr>
              <w:spacing w:after="20"/>
            </w:pPr>
            <w:r/>
            <w:r>
              <w:rPr>
                <w:rFonts w:ascii="Aptos" w:hAnsi="Aptos"/>
                <w:b w:val="0"/>
                <w:sz w:val="15"/>
              </w:rPr>
              <w:t>Clustering</w:t>
            </w:r>
          </w:p>
        </w:tc>
        <w:tc>
          <w:tcPr>
            <w:tcW w:type="dxa" w:w="3360"/>
            <w:vAlign w:val="center"/>
          </w:tcPr>
          <w:p>
            <w:pPr>
              <w:spacing w:after="20"/>
            </w:pPr>
            <w:r/>
            <w:r>
              <w:rPr>
                <w:rFonts w:ascii="Aptos" w:hAnsi="Aptos"/>
                <w:b w:val="0"/>
                <w:sz w:val="15"/>
              </w:rPr>
              <w:t>Standardize suitable features and test a method such as K-means for exploratory grouping.</w:t>
            </w:r>
          </w:p>
        </w:tc>
        <w:tc>
          <w:tcPr>
            <w:tcW w:type="dxa" w:w="3360"/>
            <w:vAlign w:val="center"/>
          </w:tcPr>
          <w:p>
            <w:pPr>
              <w:spacing w:after="20"/>
            </w:pPr>
            <w:r/>
            <w:r>
              <w:rPr>
                <w:rFonts w:ascii="Aptos" w:hAnsi="Aptos"/>
                <w:b w:val="0"/>
                <w:sz w:val="15"/>
              </w:rPr>
              <w:t>Requires meaningful numeric features and a defensible choice of cluster count; clusters are not official performance labels.</w:t>
            </w:r>
          </w:p>
        </w:tc>
      </w:tr>
      <w:tr>
        <w:tc>
          <w:tcPr>
            <w:tcW w:type="dxa" w:w="3360"/>
            <w:vAlign w:val="center"/>
            <w:shd w:fill="F1F5F9"/>
          </w:tcPr>
          <w:p>
            <w:pPr>
              <w:spacing w:after="20"/>
            </w:pPr>
            <w:r/>
            <w:r>
              <w:rPr>
                <w:rFonts w:ascii="Aptos" w:hAnsi="Aptos"/>
                <w:b w:val="0"/>
                <w:sz w:val="15"/>
              </w:rPr>
              <w:t>Qualitative review</w:t>
            </w:r>
          </w:p>
        </w:tc>
        <w:tc>
          <w:tcPr>
            <w:tcW w:type="dxa" w:w="3360"/>
            <w:vAlign w:val="center"/>
            <w:shd w:fill="F1F5F9"/>
          </w:tcPr>
          <w:p>
            <w:pPr>
              <w:spacing w:after="20"/>
            </w:pPr>
            <w:r/>
            <w:r>
              <w:rPr>
                <w:rFonts w:ascii="Aptos" w:hAnsi="Aptos"/>
                <w:b w:val="0"/>
                <w:sz w:val="15"/>
              </w:rPr>
              <w:t>Summarize themes from official reports, such as accessibility, language, grievance pathways, and transparency.</w:t>
            </w:r>
          </w:p>
        </w:tc>
        <w:tc>
          <w:tcPr>
            <w:tcW w:type="dxa" w:w="3360"/>
            <w:vAlign w:val="center"/>
            <w:shd w:fill="F1F5F9"/>
          </w:tcPr>
          <w:p>
            <w:pPr>
              <w:spacing w:after="20"/>
            </w:pPr>
            <w:r/>
            <w:r>
              <w:rPr>
                <w:rFonts w:ascii="Aptos" w:hAnsi="Aptos"/>
                <w:b w:val="0"/>
                <w:sz w:val="15"/>
              </w:rPr>
              <w:t>Use to contextualize quantitative patterns, not to substitute unsupported claims for evidence.</w:t>
            </w:r>
          </w:p>
        </w:tc>
      </w:tr>
    </w:tbl>
    <w:p/>
    <w:p>
      <w:pPr>
        <w:pStyle w:val="Heading1"/>
      </w:pPr>
      <w:r>
        <w:t>5. Python Libraries and Their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6"/>
              </w:rPr>
              <w:t>Library</w:t>
            </w:r>
          </w:p>
        </w:tc>
        <w:tc>
          <w:tcPr>
            <w:tcW w:type="dxa" w:w="3360"/>
            <w:vAlign w:val="center"/>
            <w:shd w:fill="17365D"/>
          </w:tcPr>
          <w:p>
            <w:pPr>
              <w:spacing w:after="20"/>
            </w:pPr>
            <w:r/>
            <w:r>
              <w:rPr>
                <w:rFonts w:ascii="Aptos" w:hAnsi="Aptos"/>
                <w:b/>
                <w:color w:val="FFFFFF"/>
                <w:sz w:val="16"/>
              </w:rPr>
              <w:t>Functions / capabilities</w:t>
            </w:r>
          </w:p>
        </w:tc>
        <w:tc>
          <w:tcPr>
            <w:tcW w:type="dxa" w:w="3360"/>
            <w:vAlign w:val="center"/>
            <w:shd w:fill="17365D"/>
          </w:tcPr>
          <w:p>
            <w:pPr>
              <w:spacing w:after="20"/>
            </w:pPr>
            <w:r/>
            <w:r>
              <w:rPr>
                <w:rFonts w:ascii="Aptos" w:hAnsi="Aptos"/>
                <w:b/>
                <w:color w:val="FFFFFF"/>
                <w:sz w:val="16"/>
              </w:rPr>
              <w:t>Planned use</w:t>
            </w:r>
          </w:p>
        </w:tc>
      </w:tr>
      <w:tr>
        <w:tc>
          <w:tcPr>
            <w:tcW w:type="dxa" w:w="3360"/>
            <w:vAlign w:val="center"/>
          </w:tcPr>
          <w:p>
            <w:pPr>
              <w:spacing w:after="20"/>
            </w:pPr>
            <w:r/>
            <w:r>
              <w:rPr>
                <w:rFonts w:ascii="Aptos" w:hAnsi="Aptos"/>
                <w:b w:val="0"/>
                <w:sz w:val="15"/>
              </w:rPr>
              <w:t>pandas</w:t>
            </w:r>
          </w:p>
        </w:tc>
        <w:tc>
          <w:tcPr>
            <w:tcW w:type="dxa" w:w="3360"/>
            <w:vAlign w:val="center"/>
          </w:tcPr>
          <w:p>
            <w:pPr>
              <w:spacing w:after="20"/>
            </w:pPr>
            <w:r/>
            <w:r>
              <w:rPr>
                <w:rFonts w:ascii="Aptos" w:hAnsi="Aptos"/>
                <w:b w:val="0"/>
                <w:sz w:val="15"/>
              </w:rPr>
              <w:t>read_csv(), read_excel(), to_datetime(), groupby(), agg(), merge(), pivot_table(), isna().sum().</w:t>
            </w:r>
          </w:p>
        </w:tc>
        <w:tc>
          <w:tcPr>
            <w:tcW w:type="dxa" w:w="3360"/>
            <w:vAlign w:val="center"/>
          </w:tcPr>
          <w:p>
            <w:pPr>
              <w:spacing w:after="20"/>
            </w:pPr>
            <w:r/>
            <w:r>
              <w:rPr>
                <w:rFonts w:ascii="Aptos" w:hAnsi="Aptos"/>
                <w:b w:val="0"/>
                <w:sz w:val="15"/>
              </w:rPr>
              <w:t>Load, clean, aggregate, join, and summarize data.</w:t>
            </w:r>
          </w:p>
        </w:tc>
      </w:tr>
      <w:tr>
        <w:tc>
          <w:tcPr>
            <w:tcW w:type="dxa" w:w="3360"/>
            <w:vAlign w:val="center"/>
            <w:shd w:fill="F1F5F9"/>
          </w:tcPr>
          <w:p>
            <w:pPr>
              <w:spacing w:after="20"/>
            </w:pPr>
            <w:r/>
            <w:r>
              <w:rPr>
                <w:rFonts w:ascii="Aptos" w:hAnsi="Aptos"/>
                <w:b w:val="0"/>
                <w:sz w:val="15"/>
              </w:rPr>
              <w:t>NumPy</w:t>
            </w:r>
          </w:p>
        </w:tc>
        <w:tc>
          <w:tcPr>
            <w:tcW w:type="dxa" w:w="3360"/>
            <w:vAlign w:val="center"/>
            <w:shd w:fill="F1F5F9"/>
          </w:tcPr>
          <w:p>
            <w:pPr>
              <w:spacing w:after="20"/>
            </w:pPr>
            <w:r/>
            <w:r>
              <w:rPr>
                <w:rFonts w:ascii="Aptos" w:hAnsi="Aptos"/>
                <w:b w:val="0"/>
                <w:sz w:val="15"/>
              </w:rPr>
              <w:t>np.where(), np.nan, np.percentile(), np.isfinite(), vectorized arithmetic.</w:t>
            </w:r>
          </w:p>
        </w:tc>
        <w:tc>
          <w:tcPr>
            <w:tcW w:type="dxa" w:w="3360"/>
            <w:vAlign w:val="center"/>
            <w:shd w:fill="F1F5F9"/>
          </w:tcPr>
          <w:p>
            <w:pPr>
              <w:spacing w:after="20"/>
            </w:pPr>
            <w:r/>
            <w:r>
              <w:rPr>
                <w:rFonts w:ascii="Aptos" w:hAnsi="Aptos"/>
                <w:b w:val="0"/>
                <w:sz w:val="15"/>
              </w:rPr>
              <w:t>Numeric checks, calculations, and missing-value handling.</w:t>
            </w:r>
          </w:p>
        </w:tc>
      </w:tr>
      <w:tr>
        <w:tc>
          <w:tcPr>
            <w:tcW w:type="dxa" w:w="3360"/>
            <w:vAlign w:val="center"/>
          </w:tcPr>
          <w:p>
            <w:pPr>
              <w:spacing w:after="20"/>
            </w:pPr>
            <w:r/>
            <w:r>
              <w:rPr>
                <w:rFonts w:ascii="Aptos" w:hAnsi="Aptos"/>
                <w:b w:val="0"/>
                <w:sz w:val="15"/>
              </w:rPr>
              <w:t>Matplotlib</w:t>
            </w:r>
          </w:p>
        </w:tc>
        <w:tc>
          <w:tcPr>
            <w:tcW w:type="dxa" w:w="3360"/>
            <w:vAlign w:val="center"/>
          </w:tcPr>
          <w:p>
            <w:pPr>
              <w:spacing w:after="20"/>
            </w:pPr>
            <w:r/>
            <w:r>
              <w:rPr>
                <w:rFonts w:ascii="Aptos" w:hAnsi="Aptos"/>
                <w:b w:val="0"/>
                <w:sz w:val="15"/>
              </w:rPr>
              <w:t>pyplot.figure(), plot(), bar(), hist(), xlabel(), ylabel(), title(), tight_layout().</w:t>
            </w:r>
          </w:p>
        </w:tc>
        <w:tc>
          <w:tcPr>
            <w:tcW w:type="dxa" w:w="3360"/>
            <w:vAlign w:val="center"/>
          </w:tcPr>
          <w:p>
            <w:pPr>
              <w:spacing w:after="20"/>
            </w:pPr>
            <w:r/>
            <w:r>
              <w:rPr>
                <w:rFonts w:ascii="Aptos" w:hAnsi="Aptos"/>
                <w:b w:val="0"/>
                <w:sz w:val="15"/>
              </w:rPr>
              <w:t>Build clear trend and comparison charts.</w:t>
            </w:r>
          </w:p>
        </w:tc>
      </w:tr>
      <w:tr>
        <w:tc>
          <w:tcPr>
            <w:tcW w:type="dxa" w:w="3360"/>
            <w:vAlign w:val="center"/>
            <w:shd w:fill="F1F5F9"/>
          </w:tcPr>
          <w:p>
            <w:pPr>
              <w:spacing w:after="20"/>
            </w:pPr>
            <w:r/>
            <w:r>
              <w:rPr>
                <w:rFonts w:ascii="Aptos" w:hAnsi="Aptos"/>
                <w:b w:val="0"/>
                <w:sz w:val="15"/>
              </w:rPr>
              <w:t>Seaborn</w:t>
            </w:r>
          </w:p>
        </w:tc>
        <w:tc>
          <w:tcPr>
            <w:tcW w:type="dxa" w:w="3360"/>
            <w:vAlign w:val="center"/>
            <w:shd w:fill="F1F5F9"/>
          </w:tcPr>
          <w:p>
            <w:pPr>
              <w:spacing w:after="20"/>
            </w:pPr>
            <w:r/>
            <w:r>
              <w:rPr>
                <w:rFonts w:ascii="Aptos" w:hAnsi="Aptos"/>
                <w:b w:val="0"/>
                <w:sz w:val="15"/>
              </w:rPr>
              <w:t>histplot(), boxplot(), barplot(), heatmap(), scatterplot().</w:t>
            </w:r>
          </w:p>
        </w:tc>
        <w:tc>
          <w:tcPr>
            <w:tcW w:type="dxa" w:w="3360"/>
            <w:vAlign w:val="center"/>
            <w:shd w:fill="F1F5F9"/>
          </w:tcPr>
          <w:p>
            <w:pPr>
              <w:spacing w:after="20"/>
            </w:pPr>
            <w:r/>
            <w:r>
              <w:rPr>
                <w:rFonts w:ascii="Aptos" w:hAnsi="Aptos"/>
                <w:b w:val="0"/>
                <w:sz w:val="15"/>
              </w:rPr>
              <w:t>Inspect distributions, group differences, and relationships.</w:t>
            </w:r>
          </w:p>
        </w:tc>
      </w:tr>
      <w:tr>
        <w:tc>
          <w:tcPr>
            <w:tcW w:type="dxa" w:w="3360"/>
            <w:vAlign w:val="center"/>
          </w:tcPr>
          <w:p>
            <w:pPr>
              <w:spacing w:after="20"/>
            </w:pPr>
            <w:r/>
            <w:r>
              <w:rPr>
                <w:rFonts w:ascii="Aptos" w:hAnsi="Aptos"/>
                <w:b w:val="0"/>
                <w:sz w:val="15"/>
              </w:rPr>
              <w:t>SciPy</w:t>
            </w:r>
          </w:p>
        </w:tc>
        <w:tc>
          <w:tcPr>
            <w:tcW w:type="dxa" w:w="3360"/>
            <w:vAlign w:val="center"/>
          </w:tcPr>
          <w:p>
            <w:pPr>
              <w:spacing w:after="20"/>
            </w:pPr>
            <w:r/>
            <w:r>
              <w:rPr>
                <w:rFonts w:ascii="Aptos" w:hAnsi="Aptos"/>
                <w:b w:val="0"/>
                <w:sz w:val="15"/>
              </w:rPr>
              <w:t>scipy.stats functions such as spearmanr(), chi2_contingency(), mannwhitneyu().</w:t>
            </w:r>
          </w:p>
        </w:tc>
        <w:tc>
          <w:tcPr>
            <w:tcW w:type="dxa" w:w="3360"/>
            <w:vAlign w:val="center"/>
          </w:tcPr>
          <w:p>
            <w:pPr>
              <w:spacing w:after="20"/>
            </w:pPr>
            <w:r/>
            <w:r>
              <w:rPr>
                <w:rFonts w:ascii="Aptos" w:hAnsi="Aptos"/>
                <w:b w:val="0"/>
                <w:sz w:val="15"/>
              </w:rPr>
              <w:t>Selected statistical tests when data and assumptions fit.</w:t>
            </w:r>
          </w:p>
        </w:tc>
      </w:tr>
      <w:tr>
        <w:tc>
          <w:tcPr>
            <w:tcW w:type="dxa" w:w="3360"/>
            <w:vAlign w:val="center"/>
            <w:shd w:fill="F1F5F9"/>
          </w:tcPr>
          <w:p>
            <w:pPr>
              <w:spacing w:after="20"/>
            </w:pPr>
            <w:r/>
            <w:r>
              <w:rPr>
                <w:rFonts w:ascii="Aptos" w:hAnsi="Aptos"/>
                <w:b w:val="0"/>
                <w:sz w:val="15"/>
              </w:rPr>
              <w:t>scikit-learn</w:t>
            </w:r>
          </w:p>
        </w:tc>
        <w:tc>
          <w:tcPr>
            <w:tcW w:type="dxa" w:w="3360"/>
            <w:vAlign w:val="center"/>
            <w:shd w:fill="F1F5F9"/>
          </w:tcPr>
          <w:p>
            <w:pPr>
              <w:spacing w:after="20"/>
            </w:pPr>
            <w:r/>
            <w:r>
              <w:rPr>
                <w:rFonts w:ascii="Aptos" w:hAnsi="Aptos"/>
                <w:b w:val="0"/>
                <w:sz w:val="15"/>
              </w:rPr>
              <w:t>StandardScaler, SimpleImputer, KMeans, train_test_split, model metrics.</w:t>
            </w:r>
          </w:p>
        </w:tc>
        <w:tc>
          <w:tcPr>
            <w:tcW w:type="dxa" w:w="3360"/>
            <w:vAlign w:val="center"/>
            <w:shd w:fill="F1F5F9"/>
          </w:tcPr>
          <w:p>
            <w:pPr>
              <w:spacing w:after="20"/>
            </w:pPr>
            <w:r/>
            <w:r>
              <w:rPr>
                <w:rFonts w:ascii="Aptos" w:hAnsi="Aptos"/>
                <w:b w:val="0"/>
                <w:sz w:val="15"/>
              </w:rPr>
              <w:t>Optional scaling, clustering, or predictive workflow if justified.</w:t>
            </w:r>
          </w:p>
        </w:tc>
      </w:tr>
      <w:tr>
        <w:tc>
          <w:tcPr>
            <w:tcW w:type="dxa" w:w="3360"/>
            <w:vAlign w:val="center"/>
          </w:tcPr>
          <w:p>
            <w:pPr>
              <w:spacing w:after="20"/>
            </w:pPr>
            <w:r/>
            <w:r>
              <w:rPr>
                <w:rFonts w:ascii="Aptos" w:hAnsi="Aptos"/>
                <w:b w:val="0"/>
                <w:sz w:val="15"/>
              </w:rPr>
              <w:t>Jupyter Notebook</w:t>
            </w:r>
          </w:p>
        </w:tc>
        <w:tc>
          <w:tcPr>
            <w:tcW w:type="dxa" w:w="3360"/>
            <w:vAlign w:val="center"/>
          </w:tcPr>
          <w:p>
            <w:pPr>
              <w:spacing w:after="20"/>
            </w:pPr>
            <w:r/>
            <w:r>
              <w:rPr>
                <w:rFonts w:ascii="Aptos" w:hAnsi="Aptos"/>
                <w:b w:val="0"/>
                <w:sz w:val="15"/>
              </w:rPr>
              <w:t>Markdown narrative, executable code, tables, and charts.</w:t>
            </w:r>
          </w:p>
        </w:tc>
        <w:tc>
          <w:tcPr>
            <w:tcW w:type="dxa" w:w="3360"/>
            <w:vAlign w:val="center"/>
          </w:tcPr>
          <w:p>
            <w:pPr>
              <w:spacing w:after="20"/>
            </w:pPr>
            <w:r/>
            <w:r>
              <w:rPr>
                <w:rFonts w:ascii="Aptos" w:hAnsi="Aptos"/>
                <w:b w:val="0"/>
                <w:sz w:val="15"/>
              </w:rPr>
              <w:t>Keep analysis, interpretation, and caveats together.</w:t>
            </w:r>
          </w:p>
        </w:tc>
      </w:tr>
      <w:tr>
        <w:tc>
          <w:tcPr>
            <w:tcW w:type="dxa" w:w="3360"/>
            <w:vAlign w:val="center"/>
            <w:shd w:fill="F1F5F9"/>
          </w:tcPr>
          <w:p>
            <w:pPr>
              <w:spacing w:after="20"/>
            </w:pPr>
            <w:r/>
            <w:r>
              <w:rPr>
                <w:rFonts w:ascii="Aptos" w:hAnsi="Aptos"/>
                <w:b w:val="0"/>
                <w:sz w:val="15"/>
              </w:rPr>
              <w:t>logging / pathlib</w:t>
            </w:r>
          </w:p>
        </w:tc>
        <w:tc>
          <w:tcPr>
            <w:tcW w:type="dxa" w:w="3360"/>
            <w:vAlign w:val="center"/>
            <w:shd w:fill="F1F5F9"/>
          </w:tcPr>
          <w:p>
            <w:pPr>
              <w:spacing w:after="20"/>
            </w:pPr>
            <w:r/>
            <w:r>
              <w:rPr>
                <w:rFonts w:ascii="Aptos" w:hAnsi="Aptos"/>
                <w:b w:val="0"/>
                <w:sz w:val="15"/>
              </w:rPr>
              <w:t>Structured messages and portable paths.</w:t>
            </w:r>
          </w:p>
        </w:tc>
        <w:tc>
          <w:tcPr>
            <w:tcW w:type="dxa" w:w="3360"/>
            <w:vAlign w:val="center"/>
            <w:shd w:fill="F1F5F9"/>
          </w:tcPr>
          <w:p>
            <w:pPr>
              <w:spacing w:after="20"/>
            </w:pPr>
            <w:r/>
            <w:r>
              <w:rPr>
                <w:rFonts w:ascii="Aptos" w:hAnsi="Aptos"/>
                <w:b w:val="0"/>
                <w:sz w:val="15"/>
              </w:rPr>
              <w:t>Improve traceability and make scripts easier to rerun.</w:t>
            </w:r>
          </w:p>
        </w:tc>
      </w:tr>
    </w:tbl>
    <w:p/>
    <w:p>
      <w:r>
        <w:t>The project does not need to use every library. Method selection should follow the research question and dataset quality, not the desire to include more tools.</w:t>
      </w:r>
    </w:p>
    <w:p>
      <w:pPr>
        <w:pStyle w:val="Heading1"/>
      </w:pPr>
      <w:r>
        <w:t>6. End-to-End Analysis Workflow</w:t>
      </w:r>
    </w:p>
    <w:p>
      <w:pPr>
        <w:pStyle w:val="ListNumber"/>
        <w:spacing w:after="40"/>
      </w:pPr>
      <w:r>
        <w:t>Confirm the selected dataset, research question, KPI definition, source URL, access date, and licence.</w:t>
      </w:r>
    </w:p>
    <w:p>
      <w:pPr>
        <w:pStyle w:val="ListNumber"/>
        <w:spacing w:after="40"/>
      </w:pPr>
      <w:r>
        <w:t>Load the validated processed dataset and inspect its schema, row count, date coverage, missingness, and data-quality report.</w:t>
      </w:r>
    </w:p>
    <w:p>
      <w:pPr>
        <w:pStyle w:val="ListNumber"/>
        <w:spacing w:after="40"/>
      </w:pPr>
      <w:r>
        <w:t>Apply analysis-specific filters only when justified; record the filter and report how many records remain.</w:t>
      </w:r>
    </w:p>
    <w:p>
      <w:pPr>
        <w:pStyle w:val="ListNumber"/>
        <w:spacing w:after="40"/>
      </w:pPr>
      <w:r>
        <w:t>Create descriptive summaries and validate calculations against simple manual checks or source totals.</w:t>
      </w:r>
    </w:p>
    <w:p>
      <w:pPr>
        <w:pStyle w:val="ListNumber"/>
        <w:spacing w:after="40"/>
      </w:pPr>
      <w:r>
        <w:t>Generate charts with informative titles, units, periods, source notes, and appropriate axes.</w:t>
      </w:r>
    </w:p>
    <w:p>
      <w:pPr>
        <w:pStyle w:val="ListNumber"/>
        <w:spacing w:after="40"/>
      </w:pPr>
      <w:r>
        <w:t>Conduct trend or group comparisons only when time periods and definitions are comparable.</w:t>
      </w:r>
    </w:p>
    <w:p>
      <w:pPr>
        <w:pStyle w:val="ListNumber"/>
        <w:spacing w:after="40"/>
      </w:pPr>
      <w:r>
        <w:t>Use correlation, tests, regression, or clustering only if assumptions and data volume are adequate.</w:t>
      </w:r>
    </w:p>
    <w:p>
      <w:pPr>
        <w:pStyle w:val="ListNumber"/>
        <w:spacing w:after="40"/>
      </w:pPr>
      <w:r>
        <w:t>Check outliers, missingness, subgroup coverage, and sensitivity to reasonable analytical choices.</w:t>
      </w:r>
    </w:p>
    <w:p>
      <w:pPr>
        <w:pStyle w:val="ListNumber"/>
        <w:spacing w:after="40"/>
      </w:pPr>
      <w:r>
        <w:t>Interpret each result with alternative explanations and limitations; separate findings from hypotheses.</w:t>
      </w:r>
    </w:p>
    <w:p>
      <w:pPr>
        <w:pStyle w:val="ListNumber"/>
        <w:spacing w:after="40"/>
      </w:pPr>
      <w:r>
        <w:t>Translate results into practical recommendations, then save code, figures, tables, and a reproducibility note.</w:t>
      </w:r>
    </w:p>
    <w:p>
      <w:pPr>
        <w:pStyle w:val="Heading1"/>
      </w:pPr>
      <w:r>
        <w:t>7. Simulated Python Workflow</w:t>
      </w:r>
    </w:p>
    <w:p>
      <w:r>
        <w:t>The following template demonstrates a basic descriptive workflow. It is a starter example, not a completed analysis of a real dataset. Replace the file path and column names only after inspecting the selected public dataset.</w:t>
      </w:r>
    </w:p>
    <w:p>
      <w:r>
        <w:rPr>
          <w:rFonts w:ascii="Consolas" w:hAnsi="Consolas"/>
          <w:sz w:val="15"/>
        </w:rPr>
        <w:t>from pathlib import Path</w:t>
        <w:br/>
        <w:t>import pandas as pd</w:t>
        <w:br/>
        <w:t>import matplotlib.pyplot as plt</w:t>
        <w:br/>
        <w:t>import seaborn as sns</w:t>
        <w:br/>
        <w:br/>
        <w:t>DATA_FILE = Path("data/processed/cleaned_dataset.csv")</w:t>
        <w:br/>
        <w:t>OUTPUT_DIR = Path("outputs/figures")</w:t>
        <w:br/>
        <w:t>OUTPUT_DIR.mkdir(parents=True, exist_ok=True)</w:t>
        <w:br/>
        <w:br/>
        <w:t>df = pd.read_csv(DATA_FILE)</w:t>
        <w:br/>
        <w:br/>
        <w:t># Inspect the dataset before analysis.</w:t>
        <w:br/>
        <w:t>print("Rows and columns:", df.shape)</w:t>
        <w:br/>
        <w:t>print(df.dtypes)</w:t>
        <w:br/>
        <w:t>print("Missing values:")</w:t>
        <w:br/>
        <w:t>print(df.isna().sum().sort_values(ascending=False))</w:t>
        <w:br/>
        <w:br/>
        <w:t># Example: uncomment and adapt after confirming column names.</w:t>
        <w:br/>
        <w:t># df["period"] = pd.to_datetime(df["period"], errors="coerce")</w:t>
        <w:br/>
        <w:t># df["transaction_count"] = pd.to_numeric(</w:t>
        <w:br/>
        <w:t>#     df["transaction_count"], errors="coerce"</w:t>
        <w:br/>
        <w:t># )</w:t>
        <w:br/>
        <w:br/>
        <w:t># Example summary:</w:t>
        <w:br/>
        <w:t># summary = df["transaction_count"].describe()</w:t>
        <w:br/>
        <w:t># print(summary)</w:t>
        <w:br/>
        <w:br/>
        <w:t># Example trend chart:</w:t>
        <w:br/>
        <w:t># trend = (df.groupby("period", as_index=False)["transaction_count"]</w:t>
        <w:br/>
        <w:t>#            .sum()</w:t>
        <w:br/>
        <w:t>#            .sort_values("period"))</w:t>
        <w:br/>
        <w:t># plt.figure(figsize=(10, 5))</w:t>
        <w:br/>
        <w:t># sns.lineplot(data=trend, x="period", y="transaction_count", marker="o")</w:t>
        <w:br/>
        <w:t># plt.title("Reported Digital Service Transactions Over Time")</w:t>
        <w:br/>
        <w:t># plt.xlabel("Reporting period")</w:t>
        <w:br/>
        <w:t># plt.ylabel("Transaction count")</w:t>
        <w:br/>
        <w:t># plt.tight_layout()</w:t>
        <w:br/>
        <w:t># plt.savefig(OUTPUT_DIR / "transaction_trend.png", dpi=200)</w:t>
        <w:br/>
        <w:t># plt.close()</w:t>
        <w:br/>
        <w:br/>
        <w:t># Example group comparison:</w:t>
        <w:br/>
        <w:t># by_region = df.groupby("region")["transaction_count"].agg(</w:t>
        <w:br/>
        <w:t>#     ["count", "sum", "mean", "median"]</w:t>
        <w:br/>
        <w:t># ).sort_values("sum", ascending=False)</w:t>
        <w:br/>
        <w:t># print(by_region)</w:t>
        <w:br/>
        <w:br/>
        <w:t># Validate outputs and document any excluded records before reporting.</w:t>
        <w:br/>
      </w:r>
    </w:p>
    <w:p>
      <w:pPr>
        <w:pStyle w:val="Heading1"/>
      </w:pPr>
      <w:r>
        <w:t>8. Visualization and Reporting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6"/>
              </w:rPr>
              <w:t>Output</w:t>
            </w:r>
          </w:p>
        </w:tc>
        <w:tc>
          <w:tcPr>
            <w:tcW w:type="dxa" w:w="3360"/>
            <w:vAlign w:val="center"/>
            <w:shd w:fill="17365D"/>
          </w:tcPr>
          <w:p>
            <w:pPr>
              <w:spacing w:after="20"/>
            </w:pPr>
            <w:r/>
            <w:r>
              <w:rPr>
                <w:rFonts w:ascii="Aptos" w:hAnsi="Aptos"/>
                <w:b/>
                <w:color w:val="FFFFFF"/>
                <w:sz w:val="16"/>
              </w:rPr>
              <w:t>Question answered</w:t>
            </w:r>
          </w:p>
        </w:tc>
        <w:tc>
          <w:tcPr>
            <w:tcW w:type="dxa" w:w="3360"/>
            <w:vAlign w:val="center"/>
            <w:shd w:fill="17365D"/>
          </w:tcPr>
          <w:p>
            <w:pPr>
              <w:spacing w:after="20"/>
            </w:pPr>
            <w:r/>
            <w:r>
              <w:rPr>
                <w:rFonts w:ascii="Aptos" w:hAnsi="Aptos"/>
                <w:b/>
                <w:color w:val="FFFFFF"/>
                <w:sz w:val="16"/>
              </w:rPr>
              <w:t>Design principles</w:t>
            </w:r>
          </w:p>
        </w:tc>
      </w:tr>
      <w:tr>
        <w:tc>
          <w:tcPr>
            <w:tcW w:type="dxa" w:w="3360"/>
            <w:vAlign w:val="center"/>
          </w:tcPr>
          <w:p>
            <w:pPr>
              <w:spacing w:after="20"/>
            </w:pPr>
            <w:r/>
            <w:r>
              <w:rPr>
                <w:rFonts w:ascii="Aptos" w:hAnsi="Aptos"/>
                <w:b w:val="0"/>
                <w:sz w:val="15"/>
              </w:rPr>
              <w:t>Line chart</w:t>
            </w:r>
          </w:p>
        </w:tc>
        <w:tc>
          <w:tcPr>
            <w:tcW w:type="dxa" w:w="3360"/>
            <w:vAlign w:val="center"/>
          </w:tcPr>
          <w:p>
            <w:pPr>
              <w:spacing w:after="20"/>
            </w:pPr>
            <w:r/>
            <w:r>
              <w:rPr>
                <w:rFonts w:ascii="Aptos" w:hAnsi="Aptos"/>
                <w:b w:val="0"/>
                <w:sz w:val="15"/>
              </w:rPr>
              <w:t>How does an indicator change over time?</w:t>
            </w:r>
          </w:p>
        </w:tc>
        <w:tc>
          <w:tcPr>
            <w:tcW w:type="dxa" w:w="3360"/>
            <w:vAlign w:val="center"/>
          </w:tcPr>
          <w:p>
            <w:pPr>
              <w:spacing w:after="20"/>
            </w:pPr>
            <w:r/>
            <w:r>
              <w:rPr>
                <w:rFonts w:ascii="Aptos" w:hAnsi="Aptos"/>
                <w:b w:val="0"/>
                <w:sz w:val="15"/>
              </w:rPr>
              <w:t>Consistent time interval, labelled units, source note, avoid connecting gaps without explanation.</w:t>
            </w:r>
          </w:p>
        </w:tc>
      </w:tr>
      <w:tr>
        <w:tc>
          <w:tcPr>
            <w:tcW w:type="dxa" w:w="3360"/>
            <w:vAlign w:val="center"/>
            <w:shd w:fill="F1F5F9"/>
          </w:tcPr>
          <w:p>
            <w:pPr>
              <w:spacing w:after="20"/>
            </w:pPr>
            <w:r/>
            <w:r>
              <w:rPr>
                <w:rFonts w:ascii="Aptos" w:hAnsi="Aptos"/>
                <w:b w:val="0"/>
                <w:sz w:val="15"/>
              </w:rPr>
              <w:t>Bar chart</w:t>
            </w:r>
          </w:p>
        </w:tc>
        <w:tc>
          <w:tcPr>
            <w:tcW w:type="dxa" w:w="3360"/>
            <w:vAlign w:val="center"/>
            <w:shd w:fill="F1F5F9"/>
          </w:tcPr>
          <w:p>
            <w:pPr>
              <w:spacing w:after="20"/>
            </w:pPr>
            <w:r/>
            <w:r>
              <w:rPr>
                <w:rFonts w:ascii="Aptos" w:hAnsi="Aptos"/>
                <w:b w:val="0"/>
                <w:sz w:val="15"/>
              </w:rPr>
              <w:t>How do comparable services or regions differ?</w:t>
            </w:r>
          </w:p>
        </w:tc>
        <w:tc>
          <w:tcPr>
            <w:tcW w:type="dxa" w:w="3360"/>
            <w:vAlign w:val="center"/>
            <w:shd w:fill="F1F5F9"/>
          </w:tcPr>
          <w:p>
            <w:pPr>
              <w:spacing w:after="20"/>
            </w:pPr>
            <w:r/>
            <w:r>
              <w:rPr>
                <w:rFonts w:ascii="Aptos" w:hAnsi="Aptos"/>
                <w:b w:val="0"/>
                <w:sz w:val="15"/>
              </w:rPr>
              <w:t>Sort logically, show units, avoid ranking incomparable groups.</w:t>
            </w:r>
          </w:p>
        </w:tc>
      </w:tr>
      <w:tr>
        <w:tc>
          <w:tcPr>
            <w:tcW w:type="dxa" w:w="3360"/>
            <w:vAlign w:val="center"/>
          </w:tcPr>
          <w:p>
            <w:pPr>
              <w:spacing w:after="20"/>
            </w:pPr>
            <w:r/>
            <w:r>
              <w:rPr>
                <w:rFonts w:ascii="Aptos" w:hAnsi="Aptos"/>
                <w:b w:val="0"/>
                <w:sz w:val="15"/>
              </w:rPr>
              <w:t>Histogram / boxplot</w:t>
            </w:r>
          </w:p>
        </w:tc>
        <w:tc>
          <w:tcPr>
            <w:tcW w:type="dxa" w:w="3360"/>
            <w:vAlign w:val="center"/>
          </w:tcPr>
          <w:p>
            <w:pPr>
              <w:spacing w:after="20"/>
            </w:pPr>
            <w:r/>
            <w:r>
              <w:rPr>
                <w:rFonts w:ascii="Aptos" w:hAnsi="Aptos"/>
                <w:b w:val="0"/>
                <w:sz w:val="15"/>
              </w:rPr>
              <w:t>What is the distribution and are extreme values present?</w:t>
            </w:r>
          </w:p>
        </w:tc>
        <w:tc>
          <w:tcPr>
            <w:tcW w:type="dxa" w:w="3360"/>
            <w:vAlign w:val="center"/>
          </w:tcPr>
          <w:p>
            <w:pPr>
              <w:spacing w:after="20"/>
            </w:pPr>
            <w:r/>
            <w:r>
              <w:rPr>
                <w:rFonts w:ascii="Aptos" w:hAnsi="Aptos"/>
                <w:b w:val="0"/>
                <w:sz w:val="15"/>
              </w:rPr>
              <w:t>Explain what each observation represents; investigate outliers.</w:t>
            </w:r>
          </w:p>
        </w:tc>
      </w:tr>
      <w:tr>
        <w:tc>
          <w:tcPr>
            <w:tcW w:type="dxa" w:w="3360"/>
            <w:vAlign w:val="center"/>
            <w:shd w:fill="F1F5F9"/>
          </w:tcPr>
          <w:p>
            <w:pPr>
              <w:spacing w:after="20"/>
            </w:pPr>
            <w:r/>
            <w:r>
              <w:rPr>
                <w:rFonts w:ascii="Aptos" w:hAnsi="Aptos"/>
                <w:b w:val="0"/>
                <w:sz w:val="15"/>
              </w:rPr>
              <w:t>Missingness chart/table</w:t>
            </w:r>
          </w:p>
        </w:tc>
        <w:tc>
          <w:tcPr>
            <w:tcW w:type="dxa" w:w="3360"/>
            <w:vAlign w:val="center"/>
            <w:shd w:fill="F1F5F9"/>
          </w:tcPr>
          <w:p>
            <w:pPr>
              <w:spacing w:after="20"/>
            </w:pPr>
            <w:r/>
            <w:r>
              <w:rPr>
                <w:rFonts w:ascii="Aptos" w:hAnsi="Aptos"/>
                <w:b w:val="0"/>
                <w:sz w:val="15"/>
              </w:rPr>
              <w:t>Which fields or periods are incomplete?</w:t>
            </w:r>
          </w:p>
        </w:tc>
        <w:tc>
          <w:tcPr>
            <w:tcW w:type="dxa" w:w="3360"/>
            <w:vAlign w:val="center"/>
            <w:shd w:fill="F1F5F9"/>
          </w:tcPr>
          <w:p>
            <w:pPr>
              <w:spacing w:after="20"/>
            </w:pPr>
            <w:r/>
            <w:r>
              <w:rPr>
                <w:rFonts w:ascii="Aptos" w:hAnsi="Aptos"/>
                <w:b w:val="0"/>
                <w:sz w:val="15"/>
              </w:rPr>
              <w:t>Report percentages and coverage; missingness can affect conclusions.</w:t>
            </w:r>
          </w:p>
        </w:tc>
      </w:tr>
      <w:tr>
        <w:tc>
          <w:tcPr>
            <w:tcW w:type="dxa" w:w="3360"/>
            <w:vAlign w:val="center"/>
          </w:tcPr>
          <w:p>
            <w:pPr>
              <w:spacing w:after="20"/>
            </w:pPr>
            <w:r/>
            <w:r>
              <w:rPr>
                <w:rFonts w:ascii="Aptos" w:hAnsi="Aptos"/>
                <w:b w:val="0"/>
                <w:sz w:val="15"/>
              </w:rPr>
              <w:t>Summary table</w:t>
            </w:r>
          </w:p>
        </w:tc>
        <w:tc>
          <w:tcPr>
            <w:tcW w:type="dxa" w:w="3360"/>
            <w:vAlign w:val="center"/>
          </w:tcPr>
          <w:p>
            <w:pPr>
              <w:spacing w:after="20"/>
            </w:pPr>
            <w:r/>
            <w:r>
              <w:rPr>
                <w:rFonts w:ascii="Aptos" w:hAnsi="Aptos"/>
                <w:b w:val="0"/>
                <w:sz w:val="15"/>
              </w:rPr>
              <w:t>What are the key descriptive statistics?</w:t>
            </w:r>
          </w:p>
        </w:tc>
        <w:tc>
          <w:tcPr>
            <w:tcW w:type="dxa" w:w="3360"/>
            <w:vAlign w:val="center"/>
          </w:tcPr>
          <w:p>
            <w:pPr>
              <w:spacing w:after="20"/>
            </w:pPr>
            <w:r/>
            <w:r>
              <w:rPr>
                <w:rFonts w:ascii="Aptos" w:hAnsi="Aptos"/>
                <w:b w:val="0"/>
                <w:sz w:val="15"/>
              </w:rPr>
              <w:t>Include units, sample size, period, and definitions.</w:t>
            </w:r>
          </w:p>
        </w:tc>
      </w:tr>
      <w:tr>
        <w:tc>
          <w:tcPr>
            <w:tcW w:type="dxa" w:w="3360"/>
            <w:vAlign w:val="center"/>
            <w:shd w:fill="F1F5F9"/>
          </w:tcPr>
          <w:p>
            <w:pPr>
              <w:spacing w:after="20"/>
            </w:pPr>
            <w:r/>
            <w:r>
              <w:rPr>
                <w:rFonts w:ascii="Aptos" w:hAnsi="Aptos"/>
                <w:b w:val="0"/>
                <w:sz w:val="15"/>
              </w:rPr>
              <w:t>Scatterplot / correlation summary</w:t>
            </w:r>
          </w:p>
        </w:tc>
        <w:tc>
          <w:tcPr>
            <w:tcW w:type="dxa" w:w="3360"/>
            <w:vAlign w:val="center"/>
            <w:shd w:fill="F1F5F9"/>
          </w:tcPr>
          <w:p>
            <w:pPr>
              <w:spacing w:after="20"/>
            </w:pPr>
            <w:r/>
            <w:r>
              <w:rPr>
                <w:rFonts w:ascii="Aptos" w:hAnsi="Aptos"/>
                <w:b w:val="0"/>
                <w:sz w:val="15"/>
              </w:rPr>
              <w:t>Are two numeric indicators associated?</w:t>
            </w:r>
          </w:p>
        </w:tc>
        <w:tc>
          <w:tcPr>
            <w:tcW w:type="dxa" w:w="3360"/>
            <w:vAlign w:val="center"/>
            <w:shd w:fill="F1F5F9"/>
          </w:tcPr>
          <w:p>
            <w:pPr>
              <w:spacing w:after="20"/>
            </w:pPr>
            <w:r/>
            <w:r>
              <w:rPr>
                <w:rFonts w:ascii="Aptos" w:hAnsi="Aptos"/>
                <w:b w:val="0"/>
                <w:sz w:val="15"/>
              </w:rPr>
              <w:t>Show sample size and caveat that association is not causation.</w:t>
            </w:r>
          </w:p>
        </w:tc>
      </w:tr>
    </w:tbl>
    <w:p/>
    <w:p>
      <w:pPr>
        <w:pStyle w:val="Heading2"/>
      </w:pPr>
      <w:r>
        <w:t>8.1 How outputs inform decisions</w:t>
      </w:r>
    </w:p>
    <w:p>
      <w:pPr>
        <w:pStyle w:val="ListBullet"/>
        <w:spacing w:after="40"/>
      </w:pPr>
      <w:r>
        <w:t>Persistent processing delays may justify investigating workflow stages and publishing service-standard performance, if delay data are reliable.</w:t>
      </w:r>
    </w:p>
    <w:p>
      <w:pPr>
        <w:pStyle w:val="ListBullet"/>
        <w:spacing w:after="40"/>
      </w:pPr>
      <w:r>
        <w:t>A high grievance backlog may motivate better escalation tracking, but only after checking whether received and resolved counts refer to the same cohort.</w:t>
      </w:r>
    </w:p>
    <w:p>
      <w:pPr>
        <w:pStyle w:val="ListBullet"/>
        <w:spacing w:after="40"/>
      </w:pPr>
      <w:r>
        <w:t>Uneven service usage may justify further investigation of access, eligibility, population, and assisted-service channels rather than an immediate judgement of poor performance.</w:t>
      </w:r>
    </w:p>
    <w:p>
      <w:pPr>
        <w:pStyle w:val="ListBullet"/>
        <w:spacing w:after="40"/>
      </w:pPr>
      <w:r>
        <w:t>Frequent missing or inconsistent reporting may support recommendations for standardized indicator definitions and a regular publication schedule.</w:t>
      </w:r>
    </w:p>
    <w:p>
      <w:pPr>
        <w:pStyle w:val="Heading1"/>
      </w:pPr>
      <w:r>
        <w:t>9. Potential Pitfalls and Prevention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6"/>
              </w:rPr>
              <w:t>Pitfall</w:t>
            </w:r>
          </w:p>
        </w:tc>
        <w:tc>
          <w:tcPr>
            <w:tcW w:type="dxa" w:w="3360"/>
            <w:vAlign w:val="center"/>
            <w:shd w:fill="17365D"/>
          </w:tcPr>
          <w:p>
            <w:pPr>
              <w:spacing w:after="20"/>
            </w:pPr>
            <w:r/>
            <w:r>
              <w:rPr>
                <w:rFonts w:ascii="Aptos" w:hAnsi="Aptos"/>
                <w:b/>
                <w:color w:val="FFFFFF"/>
                <w:sz w:val="16"/>
              </w:rPr>
              <w:t>Risk</w:t>
            </w:r>
          </w:p>
        </w:tc>
        <w:tc>
          <w:tcPr>
            <w:tcW w:type="dxa" w:w="3360"/>
            <w:vAlign w:val="center"/>
            <w:shd w:fill="17365D"/>
          </w:tcPr>
          <w:p>
            <w:pPr>
              <w:spacing w:after="20"/>
            </w:pPr>
            <w:r/>
            <w:r>
              <w:rPr>
                <w:rFonts w:ascii="Aptos" w:hAnsi="Aptos"/>
                <w:b/>
                <w:color w:val="FFFFFF"/>
                <w:sz w:val="16"/>
              </w:rPr>
              <w:t>Prevention</w:t>
            </w:r>
          </w:p>
        </w:tc>
      </w:tr>
      <w:tr>
        <w:tc>
          <w:tcPr>
            <w:tcW w:type="dxa" w:w="3360"/>
            <w:vAlign w:val="center"/>
          </w:tcPr>
          <w:p>
            <w:pPr>
              <w:spacing w:after="20"/>
            </w:pPr>
            <w:r/>
            <w:r>
              <w:rPr>
                <w:rFonts w:ascii="Aptos" w:hAnsi="Aptos"/>
                <w:b w:val="0"/>
                <w:sz w:val="15"/>
              </w:rPr>
              <w:t>Overfitting</w:t>
            </w:r>
          </w:p>
        </w:tc>
        <w:tc>
          <w:tcPr>
            <w:tcW w:type="dxa" w:w="3360"/>
            <w:vAlign w:val="center"/>
          </w:tcPr>
          <w:p>
            <w:pPr>
              <w:spacing w:after="20"/>
            </w:pPr>
            <w:r/>
            <w:r>
              <w:rPr>
                <w:rFonts w:ascii="Aptos" w:hAnsi="Aptos"/>
                <w:b w:val="0"/>
                <w:sz w:val="15"/>
              </w:rPr>
              <w:t>A model captures noise rather than a stable pattern.</w:t>
            </w:r>
          </w:p>
        </w:tc>
        <w:tc>
          <w:tcPr>
            <w:tcW w:type="dxa" w:w="3360"/>
            <w:vAlign w:val="center"/>
          </w:tcPr>
          <w:p>
            <w:pPr>
              <w:spacing w:after="20"/>
            </w:pPr>
            <w:r/>
            <w:r>
              <w:rPr>
                <w:rFonts w:ascii="Aptos" w:hAnsi="Aptos"/>
                <w:b w:val="0"/>
                <w:sz w:val="15"/>
              </w:rPr>
              <w:t>Keep models simple; use a held-out test set or cross-validation when predictive modelling is appropriate.</w:t>
            </w:r>
          </w:p>
        </w:tc>
      </w:tr>
      <w:tr>
        <w:tc>
          <w:tcPr>
            <w:tcW w:type="dxa" w:w="3360"/>
            <w:vAlign w:val="center"/>
            <w:shd w:fill="F1F5F9"/>
          </w:tcPr>
          <w:p>
            <w:pPr>
              <w:spacing w:after="20"/>
            </w:pPr>
            <w:r/>
            <w:r>
              <w:rPr>
                <w:rFonts w:ascii="Aptos" w:hAnsi="Aptos"/>
                <w:b w:val="0"/>
                <w:sz w:val="15"/>
              </w:rPr>
              <w:t>Bias / non-representative data</w:t>
            </w:r>
          </w:p>
        </w:tc>
        <w:tc>
          <w:tcPr>
            <w:tcW w:type="dxa" w:w="3360"/>
            <w:vAlign w:val="center"/>
            <w:shd w:fill="F1F5F9"/>
          </w:tcPr>
          <w:p>
            <w:pPr>
              <w:spacing w:after="20"/>
            </w:pPr>
            <w:r/>
            <w:r>
              <w:rPr>
                <w:rFonts w:ascii="Aptos" w:hAnsi="Aptos"/>
                <w:b w:val="0"/>
                <w:sz w:val="15"/>
              </w:rPr>
              <w:t>Published data may omit non-users, failed attempts, or poorly covered areas.</w:t>
            </w:r>
          </w:p>
        </w:tc>
        <w:tc>
          <w:tcPr>
            <w:tcW w:type="dxa" w:w="3360"/>
            <w:vAlign w:val="center"/>
            <w:shd w:fill="F1F5F9"/>
          </w:tcPr>
          <w:p>
            <w:pPr>
              <w:spacing w:after="20"/>
            </w:pPr>
            <w:r/>
            <w:r>
              <w:rPr>
                <w:rFonts w:ascii="Aptos" w:hAnsi="Aptos"/>
                <w:b w:val="0"/>
                <w:sz w:val="15"/>
              </w:rPr>
              <w:t>State the population represented; do not generalize beyond the source coverage.</w:t>
            </w:r>
          </w:p>
        </w:tc>
      </w:tr>
      <w:tr>
        <w:tc>
          <w:tcPr>
            <w:tcW w:type="dxa" w:w="3360"/>
            <w:vAlign w:val="center"/>
          </w:tcPr>
          <w:p>
            <w:pPr>
              <w:spacing w:after="20"/>
            </w:pPr>
            <w:r/>
            <w:r>
              <w:rPr>
                <w:rFonts w:ascii="Aptos" w:hAnsi="Aptos"/>
                <w:b w:val="0"/>
                <w:sz w:val="15"/>
              </w:rPr>
              <w:t>Confounding</w:t>
            </w:r>
          </w:p>
        </w:tc>
        <w:tc>
          <w:tcPr>
            <w:tcW w:type="dxa" w:w="3360"/>
            <w:vAlign w:val="center"/>
          </w:tcPr>
          <w:p>
            <w:pPr>
              <w:spacing w:after="20"/>
            </w:pPr>
            <w:r/>
            <w:r>
              <w:rPr>
                <w:rFonts w:ascii="Aptos" w:hAnsi="Aptos"/>
                <w:b w:val="0"/>
                <w:sz w:val="15"/>
              </w:rPr>
              <w:t>A relationship may be explained by population, eligibility, infrastructure, or other factors.</w:t>
            </w:r>
          </w:p>
        </w:tc>
        <w:tc>
          <w:tcPr>
            <w:tcW w:type="dxa" w:w="3360"/>
            <w:vAlign w:val="center"/>
          </w:tcPr>
          <w:p>
            <w:pPr>
              <w:spacing w:after="20"/>
            </w:pPr>
            <w:r/>
            <w:r>
              <w:rPr>
                <w:rFonts w:ascii="Aptos" w:hAnsi="Aptos"/>
                <w:b w:val="0"/>
                <w:sz w:val="15"/>
              </w:rPr>
              <w:t>Use cautious interpretation and include relevant context when available.</w:t>
            </w:r>
          </w:p>
        </w:tc>
      </w:tr>
      <w:tr>
        <w:tc>
          <w:tcPr>
            <w:tcW w:type="dxa" w:w="3360"/>
            <w:vAlign w:val="center"/>
            <w:shd w:fill="F1F5F9"/>
          </w:tcPr>
          <w:p>
            <w:pPr>
              <w:spacing w:after="20"/>
            </w:pPr>
            <w:r/>
            <w:r>
              <w:rPr>
                <w:rFonts w:ascii="Aptos" w:hAnsi="Aptos"/>
                <w:b w:val="0"/>
                <w:sz w:val="15"/>
              </w:rPr>
              <w:t>Data leakage</w:t>
            </w:r>
          </w:p>
        </w:tc>
        <w:tc>
          <w:tcPr>
            <w:tcW w:type="dxa" w:w="3360"/>
            <w:vAlign w:val="center"/>
            <w:shd w:fill="F1F5F9"/>
          </w:tcPr>
          <w:p>
            <w:pPr>
              <w:spacing w:after="20"/>
            </w:pPr>
            <w:r/>
            <w:r>
              <w:rPr>
                <w:rFonts w:ascii="Aptos" w:hAnsi="Aptos"/>
                <w:b w:val="0"/>
                <w:sz w:val="15"/>
              </w:rPr>
              <w:t>Information from the outcome/future period enters a predictive model.</w:t>
            </w:r>
          </w:p>
        </w:tc>
        <w:tc>
          <w:tcPr>
            <w:tcW w:type="dxa" w:w="3360"/>
            <w:vAlign w:val="center"/>
            <w:shd w:fill="F1F5F9"/>
          </w:tcPr>
          <w:p>
            <w:pPr>
              <w:spacing w:after="20"/>
            </w:pPr>
            <w:r/>
            <w:r>
              <w:rPr>
                <w:rFonts w:ascii="Aptos" w:hAnsi="Aptos"/>
                <w:b w:val="0"/>
                <w:sz w:val="15"/>
              </w:rPr>
              <w:t>Split data appropriately before fitting transformations and models.</w:t>
            </w:r>
          </w:p>
        </w:tc>
      </w:tr>
      <w:tr>
        <w:tc>
          <w:tcPr>
            <w:tcW w:type="dxa" w:w="3360"/>
            <w:vAlign w:val="center"/>
          </w:tcPr>
          <w:p>
            <w:pPr>
              <w:spacing w:after="20"/>
            </w:pPr>
            <w:r/>
            <w:r>
              <w:rPr>
                <w:rFonts w:ascii="Aptos" w:hAnsi="Aptos"/>
                <w:b w:val="0"/>
                <w:sz w:val="15"/>
              </w:rPr>
              <w:t>Small sample sizes</w:t>
            </w:r>
          </w:p>
        </w:tc>
        <w:tc>
          <w:tcPr>
            <w:tcW w:type="dxa" w:w="3360"/>
            <w:vAlign w:val="center"/>
          </w:tcPr>
          <w:p>
            <w:pPr>
              <w:spacing w:after="20"/>
            </w:pPr>
            <w:r/>
            <w:r>
              <w:rPr>
                <w:rFonts w:ascii="Aptos" w:hAnsi="Aptos"/>
                <w:b w:val="0"/>
                <w:sz w:val="15"/>
              </w:rPr>
              <w:t>Unstable estimates and unreliable tests.</w:t>
            </w:r>
          </w:p>
        </w:tc>
        <w:tc>
          <w:tcPr>
            <w:tcW w:type="dxa" w:w="3360"/>
            <w:vAlign w:val="center"/>
          </w:tcPr>
          <w:p>
            <w:pPr>
              <w:spacing w:after="20"/>
            </w:pPr>
            <w:r/>
            <w:r>
              <w:rPr>
                <w:rFonts w:ascii="Aptos" w:hAnsi="Aptos"/>
                <w:b w:val="0"/>
                <w:sz w:val="15"/>
              </w:rPr>
              <w:t>Report sample sizes and uncertainty; avoid complex methods on sparse data.</w:t>
            </w:r>
          </w:p>
        </w:tc>
      </w:tr>
      <w:tr>
        <w:tc>
          <w:tcPr>
            <w:tcW w:type="dxa" w:w="3360"/>
            <w:vAlign w:val="center"/>
            <w:shd w:fill="F1F5F9"/>
          </w:tcPr>
          <w:p>
            <w:pPr>
              <w:spacing w:after="20"/>
            </w:pPr>
            <w:r/>
            <w:r>
              <w:rPr>
                <w:rFonts w:ascii="Aptos" w:hAnsi="Aptos"/>
                <w:b w:val="0"/>
                <w:sz w:val="15"/>
              </w:rPr>
              <w:t>Multiple comparisons</w:t>
            </w:r>
          </w:p>
        </w:tc>
        <w:tc>
          <w:tcPr>
            <w:tcW w:type="dxa" w:w="3360"/>
            <w:vAlign w:val="center"/>
            <w:shd w:fill="F1F5F9"/>
          </w:tcPr>
          <w:p>
            <w:pPr>
              <w:spacing w:after="20"/>
            </w:pPr>
            <w:r/>
            <w:r>
              <w:rPr>
                <w:rFonts w:ascii="Aptos" w:hAnsi="Aptos"/>
                <w:b w:val="0"/>
                <w:sz w:val="15"/>
              </w:rPr>
              <w:t>Chance findings appear significant when many tests are run.</w:t>
            </w:r>
          </w:p>
        </w:tc>
        <w:tc>
          <w:tcPr>
            <w:tcW w:type="dxa" w:w="3360"/>
            <w:vAlign w:val="center"/>
            <w:shd w:fill="F1F5F9"/>
          </w:tcPr>
          <w:p>
            <w:pPr>
              <w:spacing w:after="20"/>
            </w:pPr>
            <w:r/>
            <w:r>
              <w:rPr>
                <w:rFonts w:ascii="Aptos" w:hAnsi="Aptos"/>
                <w:b w:val="0"/>
                <w:sz w:val="15"/>
              </w:rPr>
              <w:t>Limit hypotheses in advance or adjust for multiple testing where appropriate.</w:t>
            </w:r>
          </w:p>
        </w:tc>
      </w:tr>
      <w:tr>
        <w:tc>
          <w:tcPr>
            <w:tcW w:type="dxa" w:w="3360"/>
            <w:vAlign w:val="center"/>
          </w:tcPr>
          <w:p>
            <w:pPr>
              <w:spacing w:after="20"/>
            </w:pPr>
            <w:r/>
            <w:r>
              <w:rPr>
                <w:rFonts w:ascii="Aptos" w:hAnsi="Aptos"/>
                <w:b w:val="0"/>
                <w:sz w:val="15"/>
              </w:rPr>
              <w:t>Inconsistent definitions</w:t>
            </w:r>
          </w:p>
        </w:tc>
        <w:tc>
          <w:tcPr>
            <w:tcW w:type="dxa" w:w="3360"/>
            <w:vAlign w:val="center"/>
          </w:tcPr>
          <w:p>
            <w:pPr>
              <w:spacing w:after="20"/>
            </w:pPr>
            <w:r/>
            <w:r>
              <w:rPr>
                <w:rFonts w:ascii="Aptos" w:hAnsi="Aptos"/>
                <w:b w:val="0"/>
                <w:sz w:val="15"/>
              </w:rPr>
              <w:t>Apparent differences reflect different measurement rules.</w:t>
            </w:r>
          </w:p>
        </w:tc>
        <w:tc>
          <w:tcPr>
            <w:tcW w:type="dxa" w:w="3360"/>
            <w:vAlign w:val="center"/>
          </w:tcPr>
          <w:p>
            <w:pPr>
              <w:spacing w:after="20"/>
            </w:pPr>
            <w:r/>
            <w:r>
              <w:rPr>
                <w:rFonts w:ascii="Aptos" w:hAnsi="Aptos"/>
                <w:b w:val="0"/>
                <w:sz w:val="15"/>
              </w:rPr>
              <w:t>Use a data dictionary and harmonize only with evidence.</w:t>
            </w:r>
          </w:p>
        </w:tc>
      </w:tr>
      <w:tr>
        <w:tc>
          <w:tcPr>
            <w:tcW w:type="dxa" w:w="3360"/>
            <w:vAlign w:val="center"/>
            <w:shd w:fill="F1F5F9"/>
          </w:tcPr>
          <w:p>
            <w:pPr>
              <w:spacing w:after="20"/>
            </w:pPr>
            <w:r/>
            <w:r>
              <w:rPr>
                <w:rFonts w:ascii="Aptos" w:hAnsi="Aptos"/>
                <w:b w:val="0"/>
                <w:sz w:val="15"/>
              </w:rPr>
              <w:t>Misleading visual scales</w:t>
            </w:r>
          </w:p>
        </w:tc>
        <w:tc>
          <w:tcPr>
            <w:tcW w:type="dxa" w:w="3360"/>
            <w:vAlign w:val="center"/>
            <w:shd w:fill="F1F5F9"/>
          </w:tcPr>
          <w:p>
            <w:pPr>
              <w:spacing w:after="20"/>
            </w:pPr>
            <w:r/>
            <w:r>
              <w:rPr>
                <w:rFonts w:ascii="Aptos" w:hAnsi="Aptos"/>
                <w:b w:val="0"/>
                <w:sz w:val="15"/>
              </w:rPr>
              <w:t>Charts exaggerate or hide differences.</w:t>
            </w:r>
          </w:p>
        </w:tc>
        <w:tc>
          <w:tcPr>
            <w:tcW w:type="dxa" w:w="3360"/>
            <w:vAlign w:val="center"/>
            <w:shd w:fill="F1F5F9"/>
          </w:tcPr>
          <w:p>
            <w:pPr>
              <w:spacing w:after="20"/>
            </w:pPr>
            <w:r/>
            <w:r>
              <w:rPr>
                <w:rFonts w:ascii="Aptos" w:hAnsi="Aptos"/>
                <w:b w:val="0"/>
                <w:sz w:val="15"/>
              </w:rPr>
              <w:t>Label axes and units; use honest scales and disclose truncation.</w:t>
            </w:r>
          </w:p>
        </w:tc>
      </w:tr>
      <w:tr>
        <w:tc>
          <w:tcPr>
            <w:tcW w:type="dxa" w:w="3360"/>
            <w:vAlign w:val="center"/>
          </w:tcPr>
          <w:p>
            <w:pPr>
              <w:spacing w:after="20"/>
            </w:pPr>
            <w:r/>
            <w:r>
              <w:rPr>
                <w:rFonts w:ascii="Aptos" w:hAnsi="Aptos"/>
                <w:b w:val="0"/>
                <w:sz w:val="15"/>
              </w:rPr>
              <w:t>Treating correlation as causation</w:t>
            </w:r>
          </w:p>
        </w:tc>
        <w:tc>
          <w:tcPr>
            <w:tcW w:type="dxa" w:w="3360"/>
            <w:vAlign w:val="center"/>
          </w:tcPr>
          <w:p>
            <w:pPr>
              <w:spacing w:after="20"/>
            </w:pPr>
            <w:r/>
            <w:r>
              <w:rPr>
                <w:rFonts w:ascii="Aptos" w:hAnsi="Aptos"/>
                <w:b w:val="0"/>
                <w:sz w:val="15"/>
              </w:rPr>
              <w:t>Recommendations overstate what observational data can show.</w:t>
            </w:r>
          </w:p>
        </w:tc>
        <w:tc>
          <w:tcPr>
            <w:tcW w:type="dxa" w:w="3360"/>
            <w:vAlign w:val="center"/>
          </w:tcPr>
          <w:p>
            <w:pPr>
              <w:spacing w:after="20"/>
            </w:pPr>
            <w:r/>
            <w:r>
              <w:rPr>
                <w:rFonts w:ascii="Aptos" w:hAnsi="Aptos"/>
                <w:b w:val="0"/>
                <w:sz w:val="15"/>
              </w:rPr>
              <w:t>Use 'associated with' language and state alternative explanations.</w:t>
            </w:r>
          </w:p>
        </w:tc>
      </w:tr>
      <w:tr>
        <w:tc>
          <w:tcPr>
            <w:tcW w:type="dxa" w:w="3360"/>
            <w:vAlign w:val="center"/>
            <w:shd w:fill="F1F5F9"/>
          </w:tcPr>
          <w:p>
            <w:pPr>
              <w:spacing w:after="20"/>
            </w:pPr>
            <w:r/>
            <w:r>
              <w:rPr>
                <w:rFonts w:ascii="Aptos" w:hAnsi="Aptos"/>
                <w:b w:val="0"/>
                <w:sz w:val="15"/>
              </w:rPr>
              <w:t>Unexplained missingness/outliers</w:t>
            </w:r>
          </w:p>
        </w:tc>
        <w:tc>
          <w:tcPr>
            <w:tcW w:type="dxa" w:w="3360"/>
            <w:vAlign w:val="center"/>
            <w:shd w:fill="F1F5F9"/>
          </w:tcPr>
          <w:p>
            <w:pPr>
              <w:spacing w:after="20"/>
            </w:pPr>
            <w:r/>
            <w:r>
              <w:rPr>
                <w:rFonts w:ascii="Aptos" w:hAnsi="Aptos"/>
                <w:b w:val="0"/>
                <w:sz w:val="15"/>
              </w:rPr>
              <w:t>Results change depending on cleaning decisions.</w:t>
            </w:r>
          </w:p>
        </w:tc>
        <w:tc>
          <w:tcPr>
            <w:tcW w:type="dxa" w:w="3360"/>
            <w:vAlign w:val="center"/>
            <w:shd w:fill="F1F5F9"/>
          </w:tcPr>
          <w:p>
            <w:pPr>
              <w:spacing w:after="20"/>
            </w:pPr>
            <w:r/>
            <w:r>
              <w:rPr>
                <w:rFonts w:ascii="Aptos" w:hAnsi="Aptos"/>
                <w:b w:val="0"/>
                <w:sz w:val="15"/>
              </w:rPr>
              <w:t>Record rules and run sensitivity checks for important decisions.</w:t>
            </w:r>
          </w:p>
        </w:tc>
      </w:tr>
    </w:tbl>
    <w:p/>
    <w:p>
      <w:pPr>
        <w:pStyle w:val="Heading1"/>
      </w:pPr>
      <w:r>
        <w:t>10. Reproducibility and Quality Assurance</w:t>
      </w:r>
    </w:p>
    <w:p>
      <w:pPr>
        <w:pStyle w:val="ListBullet"/>
        <w:spacing w:after="40"/>
      </w:pPr>
      <w:r>
        <w:t>Use stable project-relative paths and a requirements.txt file.</w:t>
      </w:r>
    </w:p>
    <w:p>
      <w:pPr>
        <w:pStyle w:val="ListBullet"/>
        <w:spacing w:after="40"/>
      </w:pPr>
      <w:r>
        <w:t>Keep raw data separate from processed data and avoid editing raw files.</w:t>
      </w:r>
    </w:p>
    <w:p>
      <w:pPr>
        <w:pStyle w:val="ListBullet"/>
        <w:spacing w:after="40"/>
      </w:pPr>
      <w:r>
        <w:t>Write reusable functions for repeated cleaning or KPI calculations where practical.</w:t>
      </w:r>
    </w:p>
    <w:p>
      <w:pPr>
        <w:pStyle w:val="ListBullet"/>
        <w:spacing w:after="40"/>
      </w:pPr>
      <w:r>
        <w:t>Set random_state for methods that use randomness, such as K-means, when appropriate.</w:t>
      </w:r>
    </w:p>
    <w:p>
      <w:pPr>
        <w:pStyle w:val="ListBullet"/>
        <w:spacing w:after="40"/>
      </w:pPr>
      <w:r>
        <w:t>Validate row counts, data types, date coverage, KPI calculations, and chart labels.</w:t>
      </w:r>
    </w:p>
    <w:p>
      <w:pPr>
        <w:pStyle w:val="ListBullet"/>
        <w:spacing w:after="40"/>
      </w:pPr>
      <w:r>
        <w:t>Restart and run notebooks from top to bottom before submission.</w:t>
      </w:r>
    </w:p>
    <w:p>
      <w:pPr>
        <w:pStyle w:val="ListBullet"/>
        <w:spacing w:after="40"/>
      </w:pPr>
      <w:r>
        <w:t>Save figures and summary tables with clear filenames and source metadata.</w:t>
      </w:r>
    </w:p>
    <w:p>
      <w:pPr>
        <w:pStyle w:val="ListBullet"/>
        <w:spacing w:after="40"/>
      </w:pPr>
      <w:r>
        <w:t>Record assumptions, exclusions, data limitations, package versions, and processing steps.</w:t>
      </w:r>
    </w:p>
    <w:p>
      <w:pPr>
        <w:pStyle w:val="Heading1"/>
      </w:pPr>
      <w:r>
        <w:t>11. Expected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6"/>
              </w:rPr>
              <w:t>Deliverable</w:t>
            </w:r>
          </w:p>
        </w:tc>
        <w:tc>
          <w:tcPr>
            <w:tcW w:type="dxa" w:w="5040"/>
            <w:vAlign w:val="center"/>
            <w:shd w:fill="17365D"/>
          </w:tcPr>
          <w:p>
            <w:pPr>
              <w:spacing w:after="20"/>
            </w:pPr>
            <w:r/>
            <w:r>
              <w:rPr>
                <w:rFonts w:ascii="Aptos" w:hAnsi="Aptos"/>
                <w:b/>
                <w:color w:val="FFFFFF"/>
                <w:sz w:val="16"/>
              </w:rPr>
              <w:t>Expected content</w:t>
            </w:r>
          </w:p>
        </w:tc>
      </w:tr>
      <w:tr>
        <w:tc>
          <w:tcPr>
            <w:tcW w:type="dxa" w:w="5040"/>
            <w:vAlign w:val="center"/>
          </w:tcPr>
          <w:p>
            <w:pPr>
              <w:spacing w:after="20"/>
            </w:pPr>
            <w:r/>
            <w:r>
              <w:rPr>
                <w:rFonts w:ascii="Aptos" w:hAnsi="Aptos"/>
                <w:b w:val="0"/>
                <w:sz w:val="15"/>
              </w:rPr>
              <w:t>Week 3 analysis plan (this document)</w:t>
            </w:r>
          </w:p>
        </w:tc>
        <w:tc>
          <w:tcPr>
            <w:tcW w:type="dxa" w:w="5040"/>
            <w:vAlign w:val="center"/>
          </w:tcPr>
          <w:p>
            <w:pPr>
              <w:spacing w:after="20"/>
            </w:pPr>
            <w:r/>
            <w:r>
              <w:rPr>
                <w:rFonts w:ascii="Aptos" w:hAnsi="Aptos"/>
                <w:b w:val="0"/>
                <w:sz w:val="15"/>
              </w:rPr>
              <w:t>Objectives, KPIs, methods, libraries, implementation plan, risks, timeline, and references.</w:t>
            </w:r>
          </w:p>
        </w:tc>
      </w:tr>
      <w:tr>
        <w:tc>
          <w:tcPr>
            <w:tcW w:type="dxa" w:w="5040"/>
            <w:vAlign w:val="center"/>
            <w:shd w:fill="F1F5F9"/>
          </w:tcPr>
          <w:p>
            <w:pPr>
              <w:spacing w:after="20"/>
            </w:pPr>
            <w:r/>
            <w:r>
              <w:rPr>
                <w:rFonts w:ascii="Aptos" w:hAnsi="Aptos"/>
                <w:b w:val="0"/>
                <w:sz w:val="15"/>
              </w:rPr>
              <w:t>Analysis notebook/script</w:t>
            </w:r>
          </w:p>
        </w:tc>
        <w:tc>
          <w:tcPr>
            <w:tcW w:type="dxa" w:w="5040"/>
            <w:vAlign w:val="center"/>
            <w:shd w:fill="F1F5F9"/>
          </w:tcPr>
          <w:p>
            <w:pPr>
              <w:spacing w:after="20"/>
            </w:pPr>
            <w:r/>
            <w:r>
              <w:rPr>
                <w:rFonts w:ascii="Aptos" w:hAnsi="Aptos"/>
                <w:b w:val="0"/>
                <w:sz w:val="15"/>
              </w:rPr>
              <w:t>Documented workflow for loading processed data, profiling, summarizing, and visualizing.</w:t>
            </w:r>
          </w:p>
        </w:tc>
      </w:tr>
      <w:tr>
        <w:tc>
          <w:tcPr>
            <w:tcW w:type="dxa" w:w="5040"/>
            <w:vAlign w:val="center"/>
          </w:tcPr>
          <w:p>
            <w:pPr>
              <w:spacing w:after="20"/>
            </w:pPr>
            <w:r/>
            <w:r>
              <w:rPr>
                <w:rFonts w:ascii="Aptos" w:hAnsi="Aptos"/>
                <w:b w:val="0"/>
                <w:sz w:val="15"/>
              </w:rPr>
              <w:t>KPI table</w:t>
            </w:r>
          </w:p>
        </w:tc>
        <w:tc>
          <w:tcPr>
            <w:tcW w:type="dxa" w:w="5040"/>
            <w:vAlign w:val="center"/>
          </w:tcPr>
          <w:p>
            <w:pPr>
              <w:spacing w:after="20"/>
            </w:pPr>
            <w:r/>
            <w:r>
              <w:rPr>
                <w:rFonts w:ascii="Aptos" w:hAnsi="Aptos"/>
                <w:b w:val="0"/>
                <w:sz w:val="15"/>
              </w:rPr>
              <w:t>Definitions, formulas, units, periods, denominators, and source references.</w:t>
            </w:r>
          </w:p>
        </w:tc>
      </w:tr>
      <w:tr>
        <w:tc>
          <w:tcPr>
            <w:tcW w:type="dxa" w:w="5040"/>
            <w:vAlign w:val="center"/>
            <w:shd w:fill="F1F5F9"/>
          </w:tcPr>
          <w:p>
            <w:pPr>
              <w:spacing w:after="20"/>
            </w:pPr>
            <w:r/>
            <w:r>
              <w:rPr>
                <w:rFonts w:ascii="Aptos" w:hAnsi="Aptos"/>
                <w:b w:val="0"/>
                <w:sz w:val="15"/>
              </w:rPr>
              <w:t>Charts and tables</w:t>
            </w:r>
          </w:p>
        </w:tc>
        <w:tc>
          <w:tcPr>
            <w:tcW w:type="dxa" w:w="5040"/>
            <w:vAlign w:val="center"/>
            <w:shd w:fill="F1F5F9"/>
          </w:tcPr>
          <w:p>
            <w:pPr>
              <w:spacing w:after="20"/>
            </w:pPr>
            <w:r/>
            <w:r>
              <w:rPr>
                <w:rFonts w:ascii="Aptos" w:hAnsi="Aptos"/>
                <w:b w:val="0"/>
                <w:sz w:val="15"/>
              </w:rPr>
              <w:t>At least three useful visual outputs if the data support them, each with labels and source notes.</w:t>
            </w:r>
          </w:p>
        </w:tc>
      </w:tr>
      <w:tr>
        <w:tc>
          <w:tcPr>
            <w:tcW w:type="dxa" w:w="5040"/>
            <w:vAlign w:val="center"/>
          </w:tcPr>
          <w:p>
            <w:pPr>
              <w:spacing w:after="20"/>
            </w:pPr>
            <w:r/>
            <w:r>
              <w:rPr>
                <w:rFonts w:ascii="Aptos" w:hAnsi="Aptos"/>
                <w:b w:val="0"/>
                <w:sz w:val="15"/>
              </w:rPr>
              <w:t>Interpretation notes</w:t>
            </w:r>
          </w:p>
        </w:tc>
        <w:tc>
          <w:tcPr>
            <w:tcW w:type="dxa" w:w="5040"/>
            <w:vAlign w:val="center"/>
          </w:tcPr>
          <w:p>
            <w:pPr>
              <w:spacing w:after="20"/>
            </w:pPr>
            <w:r/>
            <w:r>
              <w:rPr>
                <w:rFonts w:ascii="Aptos" w:hAnsi="Aptos"/>
                <w:b w:val="0"/>
                <w:sz w:val="15"/>
              </w:rPr>
              <w:t>Findings, alternative explanations, confidence/limitations, and implications.</w:t>
            </w:r>
          </w:p>
        </w:tc>
      </w:tr>
      <w:tr>
        <w:tc>
          <w:tcPr>
            <w:tcW w:type="dxa" w:w="5040"/>
            <w:vAlign w:val="center"/>
            <w:shd w:fill="F1F5F9"/>
          </w:tcPr>
          <w:p>
            <w:pPr>
              <w:spacing w:after="20"/>
            </w:pPr>
            <w:r/>
            <w:r>
              <w:rPr>
                <w:rFonts w:ascii="Aptos" w:hAnsi="Aptos"/>
                <w:b w:val="0"/>
                <w:sz w:val="15"/>
              </w:rPr>
              <w:t>Technical README update</w:t>
            </w:r>
          </w:p>
        </w:tc>
        <w:tc>
          <w:tcPr>
            <w:tcW w:type="dxa" w:w="5040"/>
            <w:vAlign w:val="center"/>
            <w:shd w:fill="F1F5F9"/>
          </w:tcPr>
          <w:p>
            <w:pPr>
              <w:spacing w:after="20"/>
            </w:pPr>
            <w:r/>
            <w:r>
              <w:rPr>
                <w:rFonts w:ascii="Aptos" w:hAnsi="Aptos"/>
                <w:b w:val="0"/>
                <w:sz w:val="15"/>
              </w:rPr>
              <w:t>How to install dependencies, locate data, run analysis, and interpret outputs.</w:t>
            </w:r>
          </w:p>
        </w:tc>
      </w:tr>
    </w:tbl>
    <w:p/>
    <w:p>
      <w:pPr>
        <w:pStyle w:val="Heading1"/>
      </w:pPr>
      <w:r>
        <w:t>12. Timeline and Estimated Effort</w:t>
      </w:r>
    </w:p>
    <w:p>
      <w:r>
        <w:t>The proposed plan totals 33 hours, within the task estimate of 30–35 hours.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20"/>
            </w:pPr>
            <w:r/>
            <w:r>
              <w:rPr>
                <w:rFonts w:ascii="Aptos" w:hAnsi="Aptos"/>
                <w:b/>
                <w:color w:val="FFFFFF"/>
                <w:sz w:val="16"/>
              </w:rPr>
              <w:t>Stage</w:t>
            </w:r>
          </w:p>
        </w:tc>
        <w:tc>
          <w:tcPr>
            <w:tcW w:type="dxa" w:w="2520"/>
            <w:vAlign w:val="center"/>
            <w:shd w:fill="17365D"/>
          </w:tcPr>
          <w:p>
            <w:pPr>
              <w:spacing w:after="20"/>
            </w:pPr>
            <w:r/>
            <w:r>
              <w:rPr>
                <w:rFonts w:ascii="Aptos" w:hAnsi="Aptos"/>
                <w:b/>
                <w:color w:val="FFFFFF"/>
                <w:sz w:val="16"/>
              </w:rPr>
              <w:t>Activities</w:t>
            </w:r>
          </w:p>
        </w:tc>
        <w:tc>
          <w:tcPr>
            <w:tcW w:type="dxa" w:w="2520"/>
            <w:vAlign w:val="center"/>
            <w:shd w:fill="17365D"/>
          </w:tcPr>
          <w:p>
            <w:pPr>
              <w:spacing w:after="20"/>
            </w:pPr>
            <w:r/>
            <w:r>
              <w:rPr>
                <w:rFonts w:ascii="Aptos" w:hAnsi="Aptos"/>
                <w:b/>
                <w:color w:val="FFFFFF"/>
                <w:sz w:val="16"/>
              </w:rPr>
              <w:t>Hours</w:t>
            </w:r>
          </w:p>
        </w:tc>
        <w:tc>
          <w:tcPr>
            <w:tcW w:type="dxa" w:w="2520"/>
            <w:vAlign w:val="center"/>
            <w:shd w:fill="17365D"/>
          </w:tcPr>
          <w:p>
            <w:pPr>
              <w:spacing w:after="20"/>
            </w:pPr>
            <w:r/>
            <w:r>
              <w:rPr>
                <w:rFonts w:ascii="Aptos" w:hAnsi="Aptos"/>
                <w:b/>
                <w:color w:val="FFFFFF"/>
                <w:sz w:val="16"/>
              </w:rPr>
              <w:t>Checkpoint</w:t>
            </w:r>
          </w:p>
        </w:tc>
      </w:tr>
      <w:tr>
        <w:tc>
          <w:tcPr>
            <w:tcW w:type="dxa" w:w="2520"/>
            <w:vAlign w:val="center"/>
          </w:tcPr>
          <w:p>
            <w:pPr>
              <w:spacing w:after="20"/>
            </w:pPr>
            <w:r/>
            <w:r>
              <w:rPr>
                <w:rFonts w:ascii="Aptos" w:hAnsi="Aptos"/>
                <w:b w:val="0"/>
                <w:sz w:val="15"/>
              </w:rPr>
              <w:t>1. Finalize analysis questions and KPIs</w:t>
            </w:r>
          </w:p>
        </w:tc>
        <w:tc>
          <w:tcPr>
            <w:tcW w:type="dxa" w:w="2520"/>
            <w:vAlign w:val="center"/>
          </w:tcPr>
          <w:p>
            <w:pPr>
              <w:spacing w:after="20"/>
            </w:pPr>
            <w:r/>
            <w:r>
              <w:rPr>
                <w:rFonts w:ascii="Aptos" w:hAnsi="Aptos"/>
                <w:b w:val="0"/>
                <w:sz w:val="15"/>
              </w:rPr>
              <w:t>Define indicators, formulas, periods, and decision relevance.</w:t>
            </w:r>
          </w:p>
        </w:tc>
        <w:tc>
          <w:tcPr>
            <w:tcW w:type="dxa" w:w="2520"/>
            <w:vAlign w:val="center"/>
          </w:tcPr>
          <w:p>
            <w:pPr>
              <w:spacing w:after="20"/>
            </w:pPr>
            <w:r/>
            <w:r>
              <w:rPr>
                <w:rFonts w:ascii="Aptos" w:hAnsi="Aptos"/>
                <w:b w:val="0"/>
                <w:sz w:val="15"/>
              </w:rPr>
              <w:t>3</w:t>
            </w:r>
          </w:p>
        </w:tc>
        <w:tc>
          <w:tcPr>
            <w:tcW w:type="dxa" w:w="2520"/>
            <w:vAlign w:val="center"/>
          </w:tcPr>
          <w:p>
            <w:pPr>
              <w:spacing w:after="20"/>
            </w:pPr>
            <w:r/>
            <w:r>
              <w:rPr>
                <w:rFonts w:ascii="Aptos" w:hAnsi="Aptos"/>
                <w:b w:val="0"/>
                <w:sz w:val="15"/>
              </w:rPr>
              <w:t>KPI dictionary approved.</w:t>
            </w:r>
          </w:p>
        </w:tc>
      </w:tr>
      <w:tr>
        <w:tc>
          <w:tcPr>
            <w:tcW w:type="dxa" w:w="2520"/>
            <w:vAlign w:val="center"/>
            <w:shd w:fill="F1F5F9"/>
          </w:tcPr>
          <w:p>
            <w:pPr>
              <w:spacing w:after="20"/>
            </w:pPr>
            <w:r/>
            <w:r>
              <w:rPr>
                <w:rFonts w:ascii="Aptos" w:hAnsi="Aptos"/>
                <w:b w:val="0"/>
                <w:sz w:val="15"/>
              </w:rPr>
              <w:t>2. Review data readiness</w:t>
            </w:r>
          </w:p>
        </w:tc>
        <w:tc>
          <w:tcPr>
            <w:tcW w:type="dxa" w:w="2520"/>
            <w:vAlign w:val="center"/>
            <w:shd w:fill="F1F5F9"/>
          </w:tcPr>
          <w:p>
            <w:pPr>
              <w:spacing w:after="20"/>
            </w:pPr>
            <w:r/>
            <w:r>
              <w:rPr>
                <w:rFonts w:ascii="Aptos" w:hAnsi="Aptos"/>
                <w:b w:val="0"/>
                <w:sz w:val="15"/>
              </w:rPr>
              <w:t>Inspect validated files, source metadata, quality report, and coverage.</w:t>
            </w:r>
          </w:p>
        </w:tc>
        <w:tc>
          <w:tcPr>
            <w:tcW w:type="dxa" w:w="2520"/>
            <w:vAlign w:val="center"/>
            <w:shd w:fill="F1F5F9"/>
          </w:tcPr>
          <w:p>
            <w:pPr>
              <w:spacing w:after="20"/>
            </w:pPr>
            <w:r/>
            <w:r>
              <w:rPr>
                <w:rFonts w:ascii="Aptos" w:hAnsi="Aptos"/>
                <w:b w:val="0"/>
                <w:sz w:val="15"/>
              </w:rPr>
              <w:t>4</w:t>
            </w:r>
          </w:p>
        </w:tc>
        <w:tc>
          <w:tcPr>
            <w:tcW w:type="dxa" w:w="2520"/>
            <w:vAlign w:val="center"/>
            <w:shd w:fill="F1F5F9"/>
          </w:tcPr>
          <w:p>
            <w:pPr>
              <w:spacing w:after="20"/>
            </w:pPr>
            <w:r/>
            <w:r>
              <w:rPr>
                <w:rFonts w:ascii="Aptos" w:hAnsi="Aptos"/>
                <w:b w:val="0"/>
                <w:sz w:val="15"/>
              </w:rPr>
              <w:t>Dataset suitable for selected questions.</w:t>
            </w:r>
          </w:p>
        </w:tc>
      </w:tr>
      <w:tr>
        <w:tc>
          <w:tcPr>
            <w:tcW w:type="dxa" w:w="2520"/>
            <w:vAlign w:val="center"/>
          </w:tcPr>
          <w:p>
            <w:pPr>
              <w:spacing w:after="20"/>
            </w:pPr>
            <w:r/>
            <w:r>
              <w:rPr>
                <w:rFonts w:ascii="Aptos" w:hAnsi="Aptos"/>
                <w:b w:val="0"/>
                <w:sz w:val="15"/>
              </w:rPr>
              <w:t>3. Build Python analysis workflow</w:t>
            </w:r>
          </w:p>
        </w:tc>
        <w:tc>
          <w:tcPr>
            <w:tcW w:type="dxa" w:w="2520"/>
            <w:vAlign w:val="center"/>
          </w:tcPr>
          <w:p>
            <w:pPr>
              <w:spacing w:after="20"/>
            </w:pPr>
            <w:r/>
            <w:r>
              <w:rPr>
                <w:rFonts w:ascii="Aptos" w:hAnsi="Aptos"/>
                <w:b w:val="0"/>
                <w:sz w:val="15"/>
              </w:rPr>
              <w:t>Load, filter, summarize, aggregate, and validate calculations.</w:t>
            </w:r>
          </w:p>
        </w:tc>
        <w:tc>
          <w:tcPr>
            <w:tcW w:type="dxa" w:w="2520"/>
            <w:vAlign w:val="center"/>
          </w:tcPr>
          <w:p>
            <w:pPr>
              <w:spacing w:after="20"/>
            </w:pPr>
            <w:r/>
            <w:r>
              <w:rPr>
                <w:rFonts w:ascii="Aptos" w:hAnsi="Aptos"/>
                <w:b w:val="0"/>
                <w:sz w:val="15"/>
              </w:rPr>
              <w:t>6</w:t>
            </w:r>
          </w:p>
        </w:tc>
        <w:tc>
          <w:tcPr>
            <w:tcW w:type="dxa" w:w="2520"/>
            <w:vAlign w:val="center"/>
          </w:tcPr>
          <w:p>
            <w:pPr>
              <w:spacing w:after="20"/>
            </w:pPr>
            <w:r/>
            <w:r>
              <w:rPr>
                <w:rFonts w:ascii="Aptos" w:hAnsi="Aptos"/>
                <w:b w:val="0"/>
                <w:sz w:val="15"/>
              </w:rPr>
              <w:t>Reproducible baseline analysis.</w:t>
            </w:r>
          </w:p>
        </w:tc>
      </w:tr>
      <w:tr>
        <w:tc>
          <w:tcPr>
            <w:tcW w:type="dxa" w:w="2520"/>
            <w:vAlign w:val="center"/>
            <w:shd w:fill="F1F5F9"/>
          </w:tcPr>
          <w:p>
            <w:pPr>
              <w:spacing w:after="20"/>
            </w:pPr>
            <w:r/>
            <w:r>
              <w:rPr>
                <w:rFonts w:ascii="Aptos" w:hAnsi="Aptos"/>
                <w:b w:val="0"/>
                <w:sz w:val="15"/>
              </w:rPr>
              <w:t>4. Statistical analysis</w:t>
            </w:r>
          </w:p>
        </w:tc>
        <w:tc>
          <w:tcPr>
            <w:tcW w:type="dxa" w:w="2520"/>
            <w:vAlign w:val="center"/>
            <w:shd w:fill="F1F5F9"/>
          </w:tcPr>
          <w:p>
            <w:pPr>
              <w:spacing w:after="20"/>
            </w:pPr>
            <w:r/>
            <w:r>
              <w:rPr>
                <w:rFonts w:ascii="Aptos" w:hAnsi="Aptos"/>
                <w:b w:val="0"/>
                <w:sz w:val="15"/>
              </w:rPr>
              <w:t>Trend analysis, comparisons, and optional justified methods.</w:t>
            </w:r>
          </w:p>
        </w:tc>
        <w:tc>
          <w:tcPr>
            <w:tcW w:type="dxa" w:w="2520"/>
            <w:vAlign w:val="center"/>
            <w:shd w:fill="F1F5F9"/>
          </w:tcPr>
          <w:p>
            <w:pPr>
              <w:spacing w:after="20"/>
            </w:pPr>
            <w:r/>
            <w:r>
              <w:rPr>
                <w:rFonts w:ascii="Aptos" w:hAnsi="Aptos"/>
                <w:b w:val="0"/>
                <w:sz w:val="15"/>
              </w:rPr>
              <w:t>6</w:t>
            </w:r>
          </w:p>
        </w:tc>
        <w:tc>
          <w:tcPr>
            <w:tcW w:type="dxa" w:w="2520"/>
            <w:vAlign w:val="center"/>
            <w:shd w:fill="F1F5F9"/>
          </w:tcPr>
          <w:p>
            <w:pPr>
              <w:spacing w:after="20"/>
            </w:pPr>
            <w:r/>
            <w:r>
              <w:rPr>
                <w:rFonts w:ascii="Aptos" w:hAnsi="Aptos"/>
                <w:b w:val="0"/>
                <w:sz w:val="15"/>
              </w:rPr>
              <w:t>Analysis tables and diagnostic checks.</w:t>
            </w:r>
          </w:p>
        </w:tc>
      </w:tr>
      <w:tr>
        <w:tc>
          <w:tcPr>
            <w:tcW w:type="dxa" w:w="2520"/>
            <w:vAlign w:val="center"/>
          </w:tcPr>
          <w:p>
            <w:pPr>
              <w:spacing w:after="20"/>
            </w:pPr>
            <w:r/>
            <w:r>
              <w:rPr>
                <w:rFonts w:ascii="Aptos" w:hAnsi="Aptos"/>
                <w:b w:val="0"/>
                <w:sz w:val="15"/>
              </w:rPr>
              <w:t>5. Visualization and reporting</w:t>
            </w:r>
          </w:p>
        </w:tc>
        <w:tc>
          <w:tcPr>
            <w:tcW w:type="dxa" w:w="2520"/>
            <w:vAlign w:val="center"/>
          </w:tcPr>
          <w:p>
            <w:pPr>
              <w:spacing w:after="20"/>
            </w:pPr>
            <w:r/>
            <w:r>
              <w:rPr>
                <w:rFonts w:ascii="Aptos" w:hAnsi="Aptos"/>
                <w:b w:val="0"/>
                <w:sz w:val="15"/>
              </w:rPr>
              <w:t>Produce charts, captions, and summary tables.</w:t>
            </w:r>
          </w:p>
        </w:tc>
        <w:tc>
          <w:tcPr>
            <w:tcW w:type="dxa" w:w="2520"/>
            <w:vAlign w:val="center"/>
          </w:tcPr>
          <w:p>
            <w:pPr>
              <w:spacing w:after="20"/>
            </w:pPr>
            <w:r/>
            <w:r>
              <w:rPr>
                <w:rFonts w:ascii="Aptos" w:hAnsi="Aptos"/>
                <w:b w:val="0"/>
                <w:sz w:val="15"/>
              </w:rPr>
              <w:t>5</w:t>
            </w:r>
          </w:p>
        </w:tc>
        <w:tc>
          <w:tcPr>
            <w:tcW w:type="dxa" w:w="2520"/>
            <w:vAlign w:val="center"/>
          </w:tcPr>
          <w:p>
            <w:pPr>
              <w:spacing w:after="20"/>
            </w:pPr>
            <w:r/>
            <w:r>
              <w:rPr>
                <w:rFonts w:ascii="Aptos" w:hAnsi="Aptos"/>
                <w:b w:val="0"/>
                <w:sz w:val="15"/>
              </w:rPr>
              <w:t>Draft figures with source notes.</w:t>
            </w:r>
          </w:p>
        </w:tc>
      </w:tr>
      <w:tr>
        <w:tc>
          <w:tcPr>
            <w:tcW w:type="dxa" w:w="2520"/>
            <w:vAlign w:val="center"/>
            <w:shd w:fill="F1F5F9"/>
          </w:tcPr>
          <w:p>
            <w:pPr>
              <w:spacing w:after="20"/>
            </w:pPr>
            <w:r/>
            <w:r>
              <w:rPr>
                <w:rFonts w:ascii="Aptos" w:hAnsi="Aptos"/>
                <w:b w:val="0"/>
                <w:sz w:val="15"/>
              </w:rPr>
              <w:t>6. Interpretation and recommendations</w:t>
            </w:r>
          </w:p>
        </w:tc>
        <w:tc>
          <w:tcPr>
            <w:tcW w:type="dxa" w:w="2520"/>
            <w:vAlign w:val="center"/>
            <w:shd w:fill="F1F5F9"/>
          </w:tcPr>
          <w:p>
            <w:pPr>
              <w:spacing w:after="20"/>
            </w:pPr>
            <w:r/>
            <w:r>
              <w:rPr>
                <w:rFonts w:ascii="Aptos" w:hAnsi="Aptos"/>
                <w:b w:val="0"/>
                <w:sz w:val="15"/>
              </w:rPr>
              <w:t>Check alternative explanations, risks, and practical implications.</w:t>
            </w:r>
          </w:p>
        </w:tc>
        <w:tc>
          <w:tcPr>
            <w:tcW w:type="dxa" w:w="2520"/>
            <w:vAlign w:val="center"/>
            <w:shd w:fill="F1F5F9"/>
          </w:tcPr>
          <w:p>
            <w:pPr>
              <w:spacing w:after="20"/>
            </w:pPr>
            <w:r/>
            <w:r>
              <w:rPr>
                <w:rFonts w:ascii="Aptos" w:hAnsi="Aptos"/>
                <w:b w:val="0"/>
                <w:sz w:val="15"/>
              </w:rPr>
              <w:t>4</w:t>
            </w:r>
          </w:p>
        </w:tc>
        <w:tc>
          <w:tcPr>
            <w:tcW w:type="dxa" w:w="2520"/>
            <w:vAlign w:val="center"/>
            <w:shd w:fill="F1F5F9"/>
          </w:tcPr>
          <w:p>
            <w:pPr>
              <w:spacing w:after="20"/>
            </w:pPr>
            <w:r/>
            <w:r>
              <w:rPr>
                <w:rFonts w:ascii="Aptos" w:hAnsi="Aptos"/>
                <w:b w:val="0"/>
                <w:sz w:val="15"/>
              </w:rPr>
              <w:t>Evidence-linked recommendations.</w:t>
            </w:r>
          </w:p>
        </w:tc>
      </w:tr>
      <w:tr>
        <w:tc>
          <w:tcPr>
            <w:tcW w:type="dxa" w:w="2520"/>
            <w:vAlign w:val="center"/>
          </w:tcPr>
          <w:p>
            <w:pPr>
              <w:spacing w:after="20"/>
            </w:pPr>
            <w:r/>
            <w:r>
              <w:rPr>
                <w:rFonts w:ascii="Aptos" w:hAnsi="Aptos"/>
                <w:b w:val="0"/>
                <w:sz w:val="15"/>
              </w:rPr>
              <w:t>7. Quality review and packaging</w:t>
            </w:r>
          </w:p>
        </w:tc>
        <w:tc>
          <w:tcPr>
            <w:tcW w:type="dxa" w:w="2520"/>
            <w:vAlign w:val="center"/>
          </w:tcPr>
          <w:p>
            <w:pPr>
              <w:spacing w:after="20"/>
            </w:pPr>
            <w:r/>
            <w:r>
              <w:rPr>
                <w:rFonts w:ascii="Aptos" w:hAnsi="Aptos"/>
                <w:b w:val="0"/>
                <w:sz w:val="15"/>
              </w:rPr>
              <w:t>Rerun code, check outputs, update README, and finalize report.</w:t>
            </w:r>
          </w:p>
        </w:tc>
        <w:tc>
          <w:tcPr>
            <w:tcW w:type="dxa" w:w="2520"/>
            <w:vAlign w:val="center"/>
          </w:tcPr>
          <w:p>
            <w:pPr>
              <w:spacing w:after="20"/>
            </w:pPr>
            <w:r/>
            <w:r>
              <w:rPr>
                <w:rFonts w:ascii="Aptos" w:hAnsi="Aptos"/>
                <w:b w:val="0"/>
                <w:sz w:val="15"/>
              </w:rPr>
              <w:t>5</w:t>
            </w:r>
          </w:p>
        </w:tc>
        <w:tc>
          <w:tcPr>
            <w:tcW w:type="dxa" w:w="2520"/>
            <w:vAlign w:val="center"/>
          </w:tcPr>
          <w:p>
            <w:pPr>
              <w:spacing w:after="20"/>
            </w:pPr>
            <w:r/>
            <w:r>
              <w:rPr>
                <w:rFonts w:ascii="Aptos" w:hAnsi="Aptos"/>
                <w:b w:val="0"/>
                <w:sz w:val="15"/>
              </w:rPr>
              <w:t>Submission-ready package.</w:t>
            </w:r>
          </w:p>
        </w:tc>
      </w:tr>
      <w:tr>
        <w:tc>
          <w:tcPr>
            <w:tcW w:type="dxa" w:w="2520"/>
            <w:vAlign w:val="center"/>
            <w:shd w:fill="F1F5F9"/>
          </w:tcPr>
          <w:p>
            <w:pPr>
              <w:spacing w:after="20"/>
            </w:pPr>
            <w:r/>
            <w:r>
              <w:rPr>
                <w:rFonts w:ascii="Aptos" w:hAnsi="Aptos"/>
                <w:b w:val="0"/>
                <w:sz w:val="15"/>
              </w:rPr>
              <w:t>Total</w:t>
            </w:r>
          </w:p>
        </w:tc>
        <w:tc>
          <w:tcPr>
            <w:tcW w:type="dxa" w:w="2520"/>
            <w:vAlign w:val="center"/>
            <w:shd w:fill="F1F5F9"/>
          </w:tcPr>
          <w:p>
            <w:pPr>
              <w:spacing w:after="20"/>
            </w:pPr>
            <w:r/>
            <w:r>
              <w:rPr>
                <w:rFonts w:ascii="Aptos" w:hAnsi="Aptos"/>
                <w:b w:val="0"/>
                <w:sz w:val="15"/>
              </w:rPr>
            </w:r>
          </w:p>
        </w:tc>
        <w:tc>
          <w:tcPr>
            <w:tcW w:type="dxa" w:w="2520"/>
            <w:vAlign w:val="center"/>
            <w:shd w:fill="F1F5F9"/>
          </w:tcPr>
          <w:p>
            <w:pPr>
              <w:spacing w:after="20"/>
            </w:pPr>
            <w:r/>
            <w:r>
              <w:rPr>
                <w:rFonts w:ascii="Aptos" w:hAnsi="Aptos"/>
                <w:b w:val="0"/>
                <w:sz w:val="15"/>
              </w:rPr>
              <w:t>33</w:t>
            </w:r>
          </w:p>
        </w:tc>
        <w:tc>
          <w:tcPr>
            <w:tcW w:type="dxa" w:w="2520"/>
            <w:vAlign w:val="center"/>
            <w:shd w:fill="F1F5F9"/>
          </w:tcPr>
          <w:p>
            <w:pPr>
              <w:spacing w:after="20"/>
            </w:pPr>
            <w:r/>
            <w:r>
              <w:rPr>
                <w:rFonts w:ascii="Aptos" w:hAnsi="Aptos"/>
                <w:b w:val="0"/>
                <w:sz w:val="15"/>
              </w:rPr>
              <w:t>Reviewed analysis plan and reproducible outputs.</w:t>
            </w:r>
          </w:p>
        </w:tc>
      </w:tr>
    </w:tbl>
    <w:p/>
    <w:p>
      <w:pPr>
        <w:pStyle w:val="Heading1"/>
      </w:pPr>
      <w:r>
        <w:t>13. Evaluation Alignment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6"/>
              </w:rPr>
              <w:t>Criterion</w:t>
            </w:r>
          </w:p>
        </w:tc>
        <w:tc>
          <w:tcPr>
            <w:tcW w:type="dxa" w:w="5040"/>
            <w:vAlign w:val="center"/>
            <w:shd w:fill="17365D"/>
          </w:tcPr>
          <w:p>
            <w:pPr>
              <w:spacing w:after="20"/>
            </w:pPr>
            <w:r/>
            <w:r>
              <w:rPr>
                <w:rFonts w:ascii="Aptos" w:hAnsi="Aptos"/>
                <w:b/>
                <w:color w:val="FFFFFF"/>
                <w:sz w:val="16"/>
              </w:rPr>
              <w:t>How the submission addresses it</w:t>
            </w:r>
          </w:p>
        </w:tc>
      </w:tr>
      <w:tr>
        <w:tc>
          <w:tcPr>
            <w:tcW w:type="dxa" w:w="5040"/>
            <w:vAlign w:val="center"/>
          </w:tcPr>
          <w:p>
            <w:pPr>
              <w:spacing w:after="20"/>
            </w:pPr>
            <w:r/>
            <w:r>
              <w:rPr>
                <w:rFonts w:ascii="Aptos" w:hAnsi="Aptos"/>
                <w:b w:val="0"/>
                <w:sz w:val="15"/>
              </w:rPr>
              <w:t>Technical depth</w:t>
            </w:r>
          </w:p>
        </w:tc>
        <w:tc>
          <w:tcPr>
            <w:tcW w:type="dxa" w:w="5040"/>
            <w:vAlign w:val="center"/>
          </w:tcPr>
          <w:p>
            <w:pPr>
              <w:spacing w:after="20"/>
            </w:pPr>
            <w:r/>
            <w:r>
              <w:rPr>
                <w:rFonts w:ascii="Aptos" w:hAnsi="Aptos"/>
                <w:b w:val="0"/>
                <w:sz w:val="15"/>
              </w:rPr>
              <w:t>Explains statistical methods, libraries, functions, and an implementation workflow.</w:t>
            </w:r>
          </w:p>
        </w:tc>
      </w:tr>
      <w:tr>
        <w:tc>
          <w:tcPr>
            <w:tcW w:type="dxa" w:w="5040"/>
            <w:vAlign w:val="center"/>
            <w:shd w:fill="F1F5F9"/>
          </w:tcPr>
          <w:p>
            <w:pPr>
              <w:spacing w:after="20"/>
            </w:pPr>
            <w:r/>
            <w:r>
              <w:rPr>
                <w:rFonts w:ascii="Aptos" w:hAnsi="Aptos"/>
                <w:b w:val="0"/>
                <w:sz w:val="15"/>
              </w:rPr>
              <w:t>Clarity</w:t>
            </w:r>
          </w:p>
        </w:tc>
        <w:tc>
          <w:tcPr>
            <w:tcW w:type="dxa" w:w="5040"/>
            <w:vAlign w:val="center"/>
            <w:shd w:fill="F1F5F9"/>
          </w:tcPr>
          <w:p>
            <w:pPr>
              <w:spacing w:after="20"/>
            </w:pPr>
            <w:r/>
            <w:r>
              <w:rPr>
                <w:rFonts w:ascii="Aptos" w:hAnsi="Aptos"/>
                <w:b w:val="0"/>
                <w:sz w:val="15"/>
              </w:rPr>
              <w:t>Uses defined KPIs, ordered phases, tables, and a reproducible code template.</w:t>
            </w:r>
          </w:p>
        </w:tc>
      </w:tr>
      <w:tr>
        <w:tc>
          <w:tcPr>
            <w:tcW w:type="dxa" w:w="5040"/>
            <w:vAlign w:val="center"/>
          </w:tcPr>
          <w:p>
            <w:pPr>
              <w:spacing w:after="20"/>
            </w:pPr>
            <w:r/>
            <w:r>
              <w:rPr>
                <w:rFonts w:ascii="Aptos" w:hAnsi="Aptos"/>
                <w:b w:val="0"/>
                <w:sz w:val="15"/>
              </w:rPr>
              <w:t>Method justification</w:t>
            </w:r>
          </w:p>
        </w:tc>
        <w:tc>
          <w:tcPr>
            <w:tcW w:type="dxa" w:w="5040"/>
            <w:vAlign w:val="center"/>
          </w:tcPr>
          <w:p>
            <w:pPr>
              <w:spacing w:after="20"/>
            </w:pPr>
            <w:r/>
            <w:r>
              <w:rPr>
                <w:rFonts w:ascii="Aptos" w:hAnsi="Aptos"/>
                <w:b w:val="0"/>
                <w:sz w:val="15"/>
              </w:rPr>
              <w:t>Matches each method to its purpose and notes assumptions and limitations.</w:t>
            </w:r>
          </w:p>
        </w:tc>
      </w:tr>
      <w:tr>
        <w:tc>
          <w:tcPr>
            <w:tcW w:type="dxa" w:w="5040"/>
            <w:vAlign w:val="center"/>
            <w:shd w:fill="F1F5F9"/>
          </w:tcPr>
          <w:p>
            <w:pPr>
              <w:spacing w:after="20"/>
            </w:pPr>
            <w:r/>
            <w:r>
              <w:rPr>
                <w:rFonts w:ascii="Aptos" w:hAnsi="Aptos"/>
                <w:b w:val="0"/>
                <w:sz w:val="15"/>
              </w:rPr>
              <w:t>E-governance relevance</w:t>
            </w:r>
          </w:p>
        </w:tc>
        <w:tc>
          <w:tcPr>
            <w:tcW w:type="dxa" w:w="5040"/>
            <w:vAlign w:val="center"/>
            <w:shd w:fill="F1F5F9"/>
          </w:tcPr>
          <w:p>
            <w:pPr>
              <w:spacing w:after="20"/>
            </w:pPr>
            <w:r/>
            <w:r>
              <w:rPr>
                <w:rFonts w:ascii="Aptos" w:hAnsi="Aptos"/>
                <w:b w:val="0"/>
                <w:sz w:val="15"/>
              </w:rPr>
              <w:t>Uses service usage, timeliness, grievance, accessibility, and data quality indicators.</w:t>
            </w:r>
          </w:p>
        </w:tc>
      </w:tr>
      <w:tr>
        <w:tc>
          <w:tcPr>
            <w:tcW w:type="dxa" w:w="5040"/>
            <w:vAlign w:val="center"/>
          </w:tcPr>
          <w:p>
            <w:pPr>
              <w:spacing w:after="20"/>
            </w:pPr>
            <w:r/>
            <w:r>
              <w:rPr>
                <w:rFonts w:ascii="Aptos" w:hAnsi="Aptos"/>
                <w:b w:val="0"/>
                <w:sz w:val="15"/>
              </w:rPr>
              <w:t>Responsible analysis</w:t>
            </w:r>
          </w:p>
        </w:tc>
        <w:tc>
          <w:tcPr>
            <w:tcW w:type="dxa" w:w="5040"/>
            <w:vAlign w:val="center"/>
          </w:tcPr>
          <w:p>
            <w:pPr>
              <w:spacing w:after="20"/>
            </w:pPr>
            <w:r/>
            <w:r>
              <w:rPr>
                <w:rFonts w:ascii="Aptos" w:hAnsi="Aptos"/>
                <w:b w:val="0"/>
                <w:sz w:val="15"/>
              </w:rPr>
              <w:t>Addresses bias, overfitting, leakage, missingness, comparability, and causal limits.</w:t>
            </w:r>
          </w:p>
        </w:tc>
      </w:tr>
      <w:tr>
        <w:tc>
          <w:tcPr>
            <w:tcW w:type="dxa" w:w="5040"/>
            <w:vAlign w:val="center"/>
            <w:shd w:fill="F1F5F9"/>
          </w:tcPr>
          <w:p>
            <w:pPr>
              <w:spacing w:after="20"/>
            </w:pPr>
            <w:r/>
            <w:r>
              <w:rPr>
                <w:rFonts w:ascii="Aptos" w:hAnsi="Aptos"/>
                <w:b w:val="0"/>
                <w:sz w:val="15"/>
              </w:rPr>
              <w:t>Practical implementation</w:t>
            </w:r>
          </w:p>
        </w:tc>
        <w:tc>
          <w:tcPr>
            <w:tcW w:type="dxa" w:w="5040"/>
            <w:vAlign w:val="center"/>
            <w:shd w:fill="F1F5F9"/>
          </w:tcPr>
          <w:p>
            <w:pPr>
              <w:spacing w:after="20"/>
            </w:pPr>
            <w:r/>
            <w:r>
              <w:rPr>
                <w:rFonts w:ascii="Aptos" w:hAnsi="Aptos"/>
                <w:b w:val="0"/>
                <w:sz w:val="15"/>
              </w:rPr>
              <w:t>Includes project structure, code example, deliverables, and a 33-hour schedule.</w:t>
            </w:r>
          </w:p>
        </w:tc>
      </w:tr>
    </w:tbl>
    <w:p/>
    <w:p>
      <w:pPr>
        <w:pStyle w:val="Heading1"/>
      </w:pPr>
      <w:r>
        <w:t>14. Conclusion</w:t>
      </w:r>
    </w:p>
    <w:p>
      <w:r>
        <w:t>This plan establishes a practical route from validated public data to meaningful analysis of digital public services. It combines descriptive statistics and clear visualizations with optional advanced methods that are used only when justified. Reliable conclusions depend on precise KPI definitions, appropriate denominators, comparable time periods, reproducible code, and transparent limitations. The final output should help readers understand what the data show, what they do not show, and which improvements merit further investigation.</w:t>
      </w:r>
    </w:p>
    <w:p>
      <w:pPr>
        <w:pStyle w:val="Heading1"/>
      </w:pPr>
      <w:r>
        <w:t>References and Technical Documentation</w:t>
      </w:r>
    </w:p>
    <w:p>
      <w:pPr>
        <w:spacing w:after="60"/>
      </w:pPr>
      <w:r>
        <w:rPr>
          <w:b/>
        </w:rPr>
        <w:t xml:space="preserve">1. Open Government Data Platform India: </w:t>
      </w:r>
      <w:r>
        <w:t>https://data.gov.in/</w:t>
        <w:br/>
        <w:t>Candidate source repository; verify dataset-specific metadata and terms.</w:t>
      </w:r>
    </w:p>
    <w:p>
      <w:pPr>
        <w:spacing w:after="60"/>
      </w:pPr>
      <w:r>
        <w:rPr>
          <w:b/>
        </w:rPr>
        <w:t xml:space="preserve">2. World Bank GovTech Maturity Index 2025 Update: </w:t>
      </w:r>
      <w:r>
        <w:t>https://www.worldbank.org/en/programs/govtech/gtmi-2025-update</w:t>
        <w:br/>
        <w:t>Background framework for digital government.</w:t>
      </w:r>
    </w:p>
    <w:p>
      <w:pPr>
        <w:spacing w:after="60"/>
      </w:pPr>
      <w:r>
        <w:rPr>
          <w:b/>
        </w:rPr>
        <w:t xml:space="preserve">3. World Bank GovTech Dataset: </w:t>
      </w:r>
      <w:r>
        <w:t>https://datacatalog.worldbank.org/search/dataset/0037889/govtech-dataset</w:t>
        <w:br/>
        <w:t>Dataset catalogue and metadata.</w:t>
      </w:r>
    </w:p>
    <w:p>
      <w:pPr>
        <w:spacing w:after="60"/>
      </w:pPr>
      <w:r>
        <w:rPr>
          <w:b/>
        </w:rPr>
        <w:t xml:space="preserve">4. pandas documentation: </w:t>
      </w:r>
      <w:r>
        <w:t>https://pandas.pydata.org/docs/</w:t>
        <w:br/>
        <w:t>Data loading, transformation, and aggregation.</w:t>
      </w:r>
    </w:p>
    <w:p>
      <w:pPr>
        <w:spacing w:after="60"/>
      </w:pPr>
      <w:r>
        <w:rPr>
          <w:b/>
        </w:rPr>
        <w:t xml:space="preserve">5. NumPy documentation: </w:t>
      </w:r>
      <w:r>
        <w:t>https://numpy.org/doc/</w:t>
        <w:br/>
        <w:t>Numerical operations.</w:t>
      </w:r>
    </w:p>
    <w:p>
      <w:pPr>
        <w:spacing w:after="60"/>
      </w:pPr>
      <w:r>
        <w:rPr>
          <w:b/>
        </w:rPr>
        <w:t xml:space="preserve">6. Matplotlib documentation: </w:t>
      </w:r>
      <w:r>
        <w:t>https://matplotlib.org/stable/</w:t>
        <w:br/>
        <w:t>Plotting and figure export.</w:t>
      </w:r>
    </w:p>
    <w:p>
      <w:pPr>
        <w:spacing w:after="60"/>
      </w:pPr>
      <w:r>
        <w:rPr>
          <w:b/>
        </w:rPr>
        <w:t xml:space="preserve">7. Seaborn documentation: </w:t>
      </w:r>
      <w:r>
        <w:t>https://seaborn.pydata.org/</w:t>
        <w:br/>
        <w:t>Statistical visualization.</w:t>
      </w:r>
    </w:p>
    <w:p>
      <w:pPr>
        <w:spacing w:after="60"/>
      </w:pPr>
      <w:r>
        <w:rPr>
          <w:b/>
        </w:rPr>
        <w:t xml:space="preserve">8. SciPy statistics documentation: </w:t>
      </w:r>
      <w:r>
        <w:t>https://docs.scipy.org/doc/scipy/reference/stats.html</w:t>
        <w:br/>
        <w:t>Statistical tests and association measures.</w:t>
      </w:r>
    </w:p>
    <w:p>
      <w:pPr>
        <w:spacing w:after="60"/>
      </w:pPr>
      <w:r>
        <w:rPr>
          <w:b/>
        </w:rPr>
        <w:t xml:space="preserve">9. scikit-learn documentation: </w:t>
      </w:r>
      <w:r>
        <w:t>https://scikit-learn.org/stable/</w:t>
        <w:br/>
        <w:t>Preprocessing, clustering, model selection, and metrics.</w:t>
      </w:r>
    </w:p>
    <w:p>
      <w:pPr>
        <w:pStyle w:val="Heading1"/>
      </w:pPr>
      <w:r>
        <w:t>Appendix A — Pre-Submission Checklist</w:t>
      </w:r>
    </w:p>
    <w:p>
      <w:pPr>
        <w:pStyle w:val="ListBullet"/>
        <w:spacing w:after="40"/>
      </w:pPr>
      <w:r>
        <w:t>☐ All KPIs have definitions, units, and denominators where relevant.</w:t>
      </w:r>
    </w:p>
    <w:p>
      <w:pPr>
        <w:pStyle w:val="ListBullet"/>
        <w:spacing w:after="40"/>
      </w:pPr>
      <w:r>
        <w:t>☐ Every selected dataset has a traceable source and documented coverage.</w:t>
      </w:r>
    </w:p>
    <w:p>
      <w:pPr>
        <w:pStyle w:val="ListBullet"/>
        <w:spacing w:after="40"/>
      </w:pPr>
      <w:r>
        <w:t>☐ The analysis script runs from the project root without undocumented manual steps.</w:t>
      </w:r>
    </w:p>
    <w:p>
      <w:pPr>
        <w:pStyle w:val="ListBullet"/>
        <w:spacing w:after="40"/>
      </w:pPr>
      <w:r>
        <w:t>☐ At least three meaningful charts are included if the available data support them.</w:t>
      </w:r>
    </w:p>
    <w:p>
      <w:pPr>
        <w:pStyle w:val="ListBullet"/>
        <w:spacing w:after="40"/>
      </w:pPr>
      <w:r>
        <w:t>☐ All charts have titles, units, periods, and source notes.</w:t>
      </w:r>
    </w:p>
    <w:p>
      <w:pPr>
        <w:pStyle w:val="ListBullet"/>
        <w:spacing w:after="40"/>
      </w:pPr>
      <w:r>
        <w:t>☐ Advanced methods are justified by the data and their assumptions are checked.</w:t>
      </w:r>
    </w:p>
    <w:p>
      <w:pPr>
        <w:pStyle w:val="ListBullet"/>
        <w:spacing w:after="40"/>
      </w:pPr>
      <w:r>
        <w:t>☐ No unsupported causal claims or misleading comparisons are made.</w:t>
      </w:r>
    </w:p>
    <w:p>
      <w:pPr>
        <w:pStyle w:val="ListBullet"/>
        <w:spacing w:after="40"/>
      </w:pPr>
      <w:r>
        <w:t>☐ Limitations, missingness, and alternative explanations are documented.</w:t>
      </w:r>
    </w:p>
    <w:p>
      <w:pPr>
        <w:pStyle w:val="ListBullet"/>
        <w:spacing w:after="40"/>
      </w:pPr>
      <w:r>
        <w:t>☐ README instructions and dependencies match the actual repository.</w:t>
      </w:r>
    </w:p>
    <w:p>
      <w:pPr>
        <w:pStyle w:val="ListBullet"/>
        <w:spacing w:after="40"/>
      </w:pPr>
      <w:r>
        <w:t>☐ The final DOCX and code reflect work actually completed.</w:t>
      </w:r>
    </w:p>
    <w:p>
      <w:r>
        <w:t>Document status: This is an analysis and implementation plan. It provides a simulated workflow and starter code; actual empirical findings should be reported only after running the workflow on selected, validated datasets.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Data Analysis &amp; Python Implementation  •  18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YUVA VIRTUAL DATA ANALYSIS INTERNSHIP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A34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7C9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75A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