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jc w:val="center"/>
      </w:pPr>
      <w:r>
        <w:rPr>
          <w:b/>
          <w:color w:val="007C91"/>
          <w:sz w:val="28"/>
        </w:rPr>
        <w:t>WEEK 4 • FINAL REPORTING PLAN</w:t>
      </w:r>
    </w:p>
    <w:p>
      <w:pPr>
        <w:spacing w:before="200"/>
        <w:jc w:val="center"/>
      </w:pPr>
      <w:r>
        <w:rPr>
          <w:rFonts w:ascii="Aptos Display" w:hAnsi="Aptos Display"/>
          <w:b/>
          <w:color w:val="17365D"/>
          <w:sz w:val="56"/>
        </w:rPr>
        <w:t>Evaluation, Reporting &amp;</w:t>
        <w:br/>
        <w:t>Presentation Strategy</w:t>
      </w:r>
    </w:p>
    <w:p>
      <w:pPr>
        <w:spacing w:before="200"/>
        <w:jc w:val="center"/>
      </w:pPr>
      <w:r>
        <w:rPr>
          <w:color w:val="4B5A69"/>
          <w:sz w:val="28"/>
        </w:rPr>
        <w:t>E-Governance &amp; Digital Services Data Analysis</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7EEF6"/>
          </w:tcPr>
          <w:p>
            <w:pPr>
              <w:spacing w:after="20"/>
            </w:pPr>
            <w:r/>
            <w:r>
              <w:rPr>
                <w:rFonts w:ascii="Aptos" w:hAnsi="Aptos"/>
                <w:b/>
                <w:color w:val="17365D"/>
                <w:sz w:val="19"/>
              </w:rPr>
              <w:t>Internship</w:t>
            </w:r>
          </w:p>
        </w:tc>
        <w:tc>
          <w:tcPr>
            <w:tcW w:type="dxa" w:w="5040"/>
            <w:vAlign w:val="center"/>
          </w:tcPr>
          <w:p>
            <w:pPr>
              <w:spacing w:after="20"/>
            </w:pPr>
            <w:r/>
            <w:r>
              <w:rPr>
                <w:rFonts w:ascii="Aptos" w:hAnsi="Aptos"/>
                <w:b w:val="0"/>
                <w:sz w:val="19"/>
              </w:rPr>
              <w:t>Yuva Virtual Data Analysis Internship</w:t>
            </w:r>
          </w:p>
        </w:tc>
      </w:tr>
      <w:tr>
        <w:tc>
          <w:tcPr>
            <w:tcW w:type="dxa" w:w="5040"/>
            <w:vAlign w:val="center"/>
            <w:shd w:fill="E7EEF6"/>
          </w:tcPr>
          <w:p>
            <w:pPr>
              <w:spacing w:after="20"/>
            </w:pPr>
            <w:r/>
            <w:r>
              <w:rPr>
                <w:rFonts w:ascii="Aptos" w:hAnsi="Aptos"/>
                <w:b/>
                <w:color w:val="17365D"/>
                <w:sz w:val="19"/>
              </w:rPr>
              <w:t>Task</w:t>
            </w:r>
          </w:p>
        </w:tc>
        <w:tc>
          <w:tcPr>
            <w:tcW w:type="dxa" w:w="5040"/>
            <w:vAlign w:val="center"/>
          </w:tcPr>
          <w:p>
            <w:pPr>
              <w:spacing w:after="20"/>
            </w:pPr>
            <w:r/>
            <w:r>
              <w:rPr>
                <w:rFonts w:ascii="Aptos" w:hAnsi="Aptos"/>
                <w:b w:val="0"/>
                <w:sz w:val="19"/>
              </w:rPr>
              <w:t>Week 4 — Evaluation, Reporting &amp; Presentation Strategy</w:t>
            </w:r>
          </w:p>
        </w:tc>
      </w:tr>
      <w:tr>
        <w:tc>
          <w:tcPr>
            <w:tcW w:type="dxa" w:w="5040"/>
            <w:vAlign w:val="center"/>
            <w:shd w:fill="E7EEF6"/>
          </w:tcPr>
          <w:p>
            <w:pPr>
              <w:spacing w:after="20"/>
            </w:pPr>
            <w:r/>
            <w:r>
              <w:rPr>
                <w:rFonts w:ascii="Aptos" w:hAnsi="Aptos"/>
                <w:b/>
                <w:color w:val="17365D"/>
                <w:sz w:val="19"/>
              </w:rPr>
              <w:t>Project context</w:t>
            </w:r>
          </w:p>
        </w:tc>
        <w:tc>
          <w:tcPr>
            <w:tcW w:type="dxa" w:w="5040"/>
            <w:vAlign w:val="center"/>
          </w:tcPr>
          <w:p>
            <w:pPr>
              <w:spacing w:after="20"/>
            </w:pPr>
            <w:r/>
            <w:r>
              <w:rPr>
                <w:rFonts w:ascii="Aptos" w:hAnsi="Aptos"/>
                <w:b w:val="0"/>
                <w:sz w:val="19"/>
              </w:rPr>
              <w:t>Public digital services and e-governance in India</w:t>
            </w:r>
          </w:p>
        </w:tc>
      </w:tr>
      <w:tr>
        <w:tc>
          <w:tcPr>
            <w:tcW w:type="dxa" w:w="5040"/>
            <w:vAlign w:val="center"/>
            <w:shd w:fill="E7EEF6"/>
          </w:tcPr>
          <w:p>
            <w:pPr>
              <w:spacing w:after="20"/>
            </w:pPr>
            <w:r/>
            <w:r>
              <w:rPr>
                <w:rFonts w:ascii="Aptos" w:hAnsi="Aptos"/>
                <w:b/>
                <w:color w:val="17365D"/>
                <w:sz w:val="19"/>
              </w:rPr>
              <w:t>Planned effort</w:t>
            </w:r>
          </w:p>
        </w:tc>
        <w:tc>
          <w:tcPr>
            <w:tcW w:type="dxa" w:w="5040"/>
            <w:vAlign w:val="center"/>
          </w:tcPr>
          <w:p>
            <w:pPr>
              <w:spacing w:after="20"/>
            </w:pPr>
            <w:r/>
            <w:r>
              <w:rPr>
                <w:rFonts w:ascii="Aptos" w:hAnsi="Aptos"/>
                <w:b w:val="0"/>
                <w:sz w:val="19"/>
              </w:rPr>
              <w:t>33 hours</w:t>
            </w:r>
          </w:p>
        </w:tc>
      </w:tr>
    </w:tbl>
    <w:p>
      <w:pPr>
        <w:spacing w:before="440"/>
        <w:jc w:val="center"/>
      </w:pPr>
      <w:r>
        <w:rPr>
          <w:b/>
          <w:color w:val="007C91"/>
          <w:sz w:val="24"/>
        </w:rPr>
        <w:t>Purpose</w:t>
      </w:r>
    </w:p>
    <w:p>
      <w:pPr>
        <w:ind w:left="936" w:right="936"/>
        <w:jc w:val="center"/>
      </w:pPr>
      <w:r>
        <w:t>To define how validated analysis results will be evaluated, interpreted, communicated, and translated into practical recommendations for stakeholders responsible for digital public services.</w:t>
      </w:r>
    </w:p>
    <w:p>
      <w:r>
        <w:br w:type="page"/>
      </w:r>
    </w:p>
    <w:p>
      <w:pPr>
        <w:pStyle w:val="Heading1"/>
      </w:pPr>
      <w:r>
        <w:t>Executive Summary</w:t>
      </w:r>
    </w:p>
    <w:p>
      <w:r>
        <w:t>This report presents a structured plan for evaluating and communicating a Python-based analysis of public data related to e-governance and digital services. It connects the earlier project stages—source selection, data collection, preprocessing, and analysis—with the final reporting stage. The aim is to produce a professional, transparent, and actionable report for stakeholders while distinguishing observed evidence from interpretation and recommendations.</w:t>
      </w:r>
    </w:p>
    <w:p>
      <w:r>
        <w:t>The proposed analysis may examine service usage, processing time, completion rates, grievance handling, data completeness, and aggregate digital-access context, depending on the availability and quality of selected public datasets. The reporting strategy uses descriptive summaries, trend charts, group comparisons where valid, and qualitative context from official documents. As no validated dataset or analysis output is supplied with this task, any findings described in this report are illustrative scenarios and must not be presented as actual empirical results.</w:t>
      </w:r>
    </w:p>
    <w:p>
      <w:r>
        <w:t>The report specifies an evaluation framework, visualization plan, interpretation template, limitations register, recommendation prioritization method, stakeholder briefing structure, and a 33-hour timeline. It also outlines quality assurance and reproducibility practices to ensure that every chart and recommendation can be traced to a source, method, and documented assumption.</w:t>
      </w:r>
    </w:p>
    <w:p>
      <w:pPr>
        <w:pStyle w:val="Heading1"/>
      </w:pPr>
      <w:r>
        <w:t>1. Project Context and Reporting Objectives</w:t>
      </w:r>
    </w:p>
    <w:p>
      <w:r>
        <w:t>Digital public services are intended to make government processes easier to access, more transparent, and more efficient. Yet transaction volume or portal availability alone cannot establish whether users complete services successfully, receive timely decisions, or can access digital channels equitably. Reporting should therefore combine appropriate quantitative indicators with source context, data-quality evidence, and a clear account of uncertainty.</w:t>
      </w:r>
    </w:p>
    <w:p>
      <w:pPr>
        <w:pStyle w:val="Heading2"/>
      </w:pPr>
      <w:r>
        <w:t>1.1 Reporting objectives</w:t>
      </w:r>
    </w:p>
    <w:p>
      <w:pPr>
        <w:pStyle w:val="ListBullet"/>
        <w:spacing w:after="40"/>
      </w:pPr>
      <w:r>
        <w:t>Summarize the data sources, preprocessing steps, analytical methods, and assumptions in a reproducible way.</w:t>
      </w:r>
    </w:p>
    <w:p>
      <w:pPr>
        <w:pStyle w:val="ListBullet"/>
        <w:spacing w:after="40"/>
      </w:pPr>
      <w:r>
        <w:t>Evaluate whether selected KPIs are calculated from valid definitions, units, periods, and denominators.</w:t>
      </w:r>
    </w:p>
    <w:p>
      <w:pPr>
        <w:pStyle w:val="ListBullet"/>
        <w:spacing w:after="40"/>
      </w:pPr>
      <w:r>
        <w:t>Communicate trends, comparisons, and anomalies through readable charts and concise narrative interpretation.</w:t>
      </w:r>
    </w:p>
    <w:p>
      <w:pPr>
        <w:pStyle w:val="ListBullet"/>
        <w:spacing w:after="40"/>
      </w:pPr>
      <w:r>
        <w:t>Translate well-supported observations into prioritized, feasible recommendations.</w:t>
      </w:r>
    </w:p>
    <w:p>
      <w:pPr>
        <w:pStyle w:val="ListBullet"/>
        <w:spacing w:after="40"/>
      </w:pPr>
      <w:r>
        <w:t>Disclose data limitations, alternative explanations, and areas requiring additional evidence.</w:t>
      </w:r>
    </w:p>
    <w:p>
      <w:pPr>
        <w:pStyle w:val="ListBullet"/>
        <w:spacing w:after="40"/>
      </w:pPr>
      <w:r>
        <w:t>Prepare a stakeholder briefing that focuses on decisions rather than code details alone.</w:t>
      </w:r>
    </w:p>
    <w:p>
      <w:pPr>
        <w:pStyle w:val="Heading2"/>
      </w:pPr>
      <w:r>
        <w:t>1.2 Intended audience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6"/>
              </w:rPr>
              <w:t>Audience</w:t>
            </w:r>
          </w:p>
        </w:tc>
        <w:tc>
          <w:tcPr>
            <w:tcW w:type="dxa" w:w="3360"/>
            <w:vAlign w:val="center"/>
            <w:shd w:fill="17365D"/>
          </w:tcPr>
          <w:p>
            <w:pPr>
              <w:spacing w:after="20"/>
            </w:pPr>
            <w:r/>
            <w:r>
              <w:rPr>
                <w:rFonts w:ascii="Aptos" w:hAnsi="Aptos"/>
                <w:b/>
                <w:color w:val="FFFFFF"/>
                <w:sz w:val="16"/>
              </w:rPr>
              <w:t>Primary information need</w:t>
            </w:r>
          </w:p>
        </w:tc>
        <w:tc>
          <w:tcPr>
            <w:tcW w:type="dxa" w:w="3360"/>
            <w:vAlign w:val="center"/>
            <w:shd w:fill="17365D"/>
          </w:tcPr>
          <w:p>
            <w:pPr>
              <w:spacing w:after="20"/>
            </w:pPr>
            <w:r/>
            <w:r>
              <w:rPr>
                <w:rFonts w:ascii="Aptos" w:hAnsi="Aptos"/>
                <w:b/>
                <w:color w:val="FFFFFF"/>
                <w:sz w:val="16"/>
              </w:rPr>
              <w:t>Reporting emphasis</w:t>
            </w:r>
          </w:p>
        </w:tc>
      </w:tr>
      <w:tr>
        <w:tc>
          <w:tcPr>
            <w:tcW w:type="dxa" w:w="3360"/>
            <w:vAlign w:val="center"/>
          </w:tcPr>
          <w:p>
            <w:pPr>
              <w:spacing w:after="20"/>
            </w:pPr>
            <w:r/>
            <w:r>
              <w:rPr>
                <w:rFonts w:ascii="Aptos" w:hAnsi="Aptos"/>
                <w:b w:val="0"/>
                <w:sz w:val="15"/>
              </w:rPr>
              <w:t>Service administrators</w:t>
            </w:r>
          </w:p>
        </w:tc>
        <w:tc>
          <w:tcPr>
            <w:tcW w:type="dxa" w:w="3360"/>
            <w:vAlign w:val="center"/>
          </w:tcPr>
          <w:p>
            <w:pPr>
              <w:spacing w:after="20"/>
            </w:pPr>
            <w:r/>
            <w:r>
              <w:rPr>
                <w:rFonts w:ascii="Aptos" w:hAnsi="Aptos"/>
                <w:b w:val="0"/>
                <w:sz w:val="15"/>
              </w:rPr>
              <w:t>Where are possible bottlenecks or reporting gaps?</w:t>
            </w:r>
          </w:p>
        </w:tc>
        <w:tc>
          <w:tcPr>
            <w:tcW w:type="dxa" w:w="3360"/>
            <w:vAlign w:val="center"/>
          </w:tcPr>
          <w:p>
            <w:pPr>
              <w:spacing w:after="20"/>
            </w:pPr>
            <w:r/>
            <w:r>
              <w:rPr>
                <w:rFonts w:ascii="Aptos" w:hAnsi="Aptos"/>
                <w:b w:val="0"/>
                <w:sz w:val="15"/>
              </w:rPr>
              <w:t>Operational indicators, trends, and feasible process improvements.</w:t>
            </w:r>
          </w:p>
        </w:tc>
      </w:tr>
      <w:tr>
        <w:tc>
          <w:tcPr>
            <w:tcW w:type="dxa" w:w="3360"/>
            <w:vAlign w:val="center"/>
            <w:shd w:fill="F1F5F9"/>
          </w:tcPr>
          <w:p>
            <w:pPr>
              <w:spacing w:after="20"/>
            </w:pPr>
            <w:r/>
            <w:r>
              <w:rPr>
                <w:rFonts w:ascii="Aptos" w:hAnsi="Aptos"/>
                <w:b w:val="0"/>
                <w:sz w:val="15"/>
              </w:rPr>
              <w:t>Digital transformation teams</w:t>
            </w:r>
          </w:p>
        </w:tc>
        <w:tc>
          <w:tcPr>
            <w:tcW w:type="dxa" w:w="3360"/>
            <w:vAlign w:val="center"/>
            <w:shd w:fill="F1F5F9"/>
          </w:tcPr>
          <w:p>
            <w:pPr>
              <w:spacing w:after="20"/>
            </w:pPr>
            <w:r/>
            <w:r>
              <w:rPr>
                <w:rFonts w:ascii="Aptos" w:hAnsi="Aptos"/>
                <w:b w:val="0"/>
                <w:sz w:val="15"/>
              </w:rPr>
              <w:t>Which services or user journeys may need investigation?</w:t>
            </w:r>
          </w:p>
        </w:tc>
        <w:tc>
          <w:tcPr>
            <w:tcW w:type="dxa" w:w="3360"/>
            <w:vAlign w:val="center"/>
            <w:shd w:fill="F1F5F9"/>
          </w:tcPr>
          <w:p>
            <w:pPr>
              <w:spacing w:after="20"/>
            </w:pPr>
            <w:r/>
            <w:r>
              <w:rPr>
                <w:rFonts w:ascii="Aptos" w:hAnsi="Aptos"/>
                <w:b w:val="0"/>
                <w:sz w:val="15"/>
              </w:rPr>
              <w:t>Service coverage, completion, access context, and usability-related evidence.</w:t>
            </w:r>
          </w:p>
        </w:tc>
      </w:tr>
      <w:tr>
        <w:tc>
          <w:tcPr>
            <w:tcW w:type="dxa" w:w="3360"/>
            <w:vAlign w:val="center"/>
          </w:tcPr>
          <w:p>
            <w:pPr>
              <w:spacing w:after="20"/>
            </w:pPr>
            <w:r/>
            <w:r>
              <w:rPr>
                <w:rFonts w:ascii="Aptos" w:hAnsi="Aptos"/>
                <w:b w:val="0"/>
                <w:sz w:val="15"/>
              </w:rPr>
              <w:t>Data and monitoring teams</w:t>
            </w:r>
          </w:p>
        </w:tc>
        <w:tc>
          <w:tcPr>
            <w:tcW w:type="dxa" w:w="3360"/>
            <w:vAlign w:val="center"/>
          </w:tcPr>
          <w:p>
            <w:pPr>
              <w:spacing w:after="20"/>
            </w:pPr>
            <w:r/>
            <w:r>
              <w:rPr>
                <w:rFonts w:ascii="Aptos" w:hAnsi="Aptos"/>
                <w:b w:val="0"/>
                <w:sz w:val="15"/>
              </w:rPr>
              <w:t>Are metrics reliable and comparable?</w:t>
            </w:r>
          </w:p>
        </w:tc>
        <w:tc>
          <w:tcPr>
            <w:tcW w:type="dxa" w:w="3360"/>
            <w:vAlign w:val="center"/>
          </w:tcPr>
          <w:p>
            <w:pPr>
              <w:spacing w:after="20"/>
            </w:pPr>
            <w:r/>
            <w:r>
              <w:rPr>
                <w:rFonts w:ascii="Aptos" w:hAnsi="Aptos"/>
                <w:b w:val="0"/>
                <w:sz w:val="15"/>
              </w:rPr>
              <w:t>Definitions, quality checks, source provenance, and repeatable calculations.</w:t>
            </w:r>
          </w:p>
        </w:tc>
      </w:tr>
      <w:tr>
        <w:tc>
          <w:tcPr>
            <w:tcW w:type="dxa" w:w="3360"/>
            <w:vAlign w:val="center"/>
            <w:shd w:fill="F1F5F9"/>
          </w:tcPr>
          <w:p>
            <w:pPr>
              <w:spacing w:after="20"/>
            </w:pPr>
            <w:r/>
            <w:r>
              <w:rPr>
                <w:rFonts w:ascii="Aptos" w:hAnsi="Aptos"/>
                <w:b w:val="0"/>
                <w:sz w:val="15"/>
              </w:rPr>
              <w:t>Program leaders / evaluators</w:t>
            </w:r>
          </w:p>
        </w:tc>
        <w:tc>
          <w:tcPr>
            <w:tcW w:type="dxa" w:w="3360"/>
            <w:vAlign w:val="center"/>
            <w:shd w:fill="F1F5F9"/>
          </w:tcPr>
          <w:p>
            <w:pPr>
              <w:spacing w:after="20"/>
            </w:pPr>
            <w:r/>
            <w:r>
              <w:rPr>
                <w:rFonts w:ascii="Aptos" w:hAnsi="Aptos"/>
                <w:b w:val="0"/>
                <w:sz w:val="15"/>
              </w:rPr>
              <w:t>What does the evidence support and what should happen next?</w:t>
            </w:r>
          </w:p>
        </w:tc>
        <w:tc>
          <w:tcPr>
            <w:tcW w:type="dxa" w:w="3360"/>
            <w:vAlign w:val="center"/>
            <w:shd w:fill="F1F5F9"/>
          </w:tcPr>
          <w:p>
            <w:pPr>
              <w:spacing w:after="20"/>
            </w:pPr>
            <w:r/>
            <w:r>
              <w:rPr>
                <w:rFonts w:ascii="Aptos" w:hAnsi="Aptos"/>
                <w:b w:val="0"/>
                <w:sz w:val="15"/>
              </w:rPr>
              <w:t>Executive summary, priority recommendations, risks, and decision requests.</w:t>
            </w:r>
          </w:p>
        </w:tc>
      </w:tr>
    </w:tbl>
    <w:p/>
    <w:p>
      <w:pPr>
        <w:pStyle w:val="Heading1"/>
      </w:pPr>
      <w:r>
        <w:t>2. Methodology Summary</w:t>
      </w:r>
    </w:p>
    <w:p>
      <w:pPr>
        <w:pStyle w:val="Heading2"/>
      </w:pPr>
      <w:r>
        <w:t>2.1 End-to-end process</w:t>
      </w:r>
    </w:p>
    <w:p>
      <w:pPr>
        <w:pStyle w:val="ListNumber"/>
        <w:spacing w:after="40"/>
      </w:pPr>
      <w:r>
        <w:t>Data sourcing: identify official public repositories and relevant government or multilateral reports; record URLs, access dates, licences, definitions, and coverage.</w:t>
      </w:r>
    </w:p>
    <w:p>
      <w:pPr>
        <w:pStyle w:val="ListNumber"/>
        <w:spacing w:after="40"/>
      </w:pPr>
      <w:r>
        <w:t>Data collection: download permitted CSV/XLSX files or use documented public APIs; retain raw data unchanged and record extraction details.</w:t>
      </w:r>
    </w:p>
    <w:p>
      <w:pPr>
        <w:pStyle w:val="ListNumber"/>
        <w:spacing w:after="40"/>
      </w:pPr>
      <w:r>
        <w:t>Preprocessing: inspect schemas, standardize column names and dates, examine missingness and duplicates, validate ranges, and document transformations.</w:t>
      </w:r>
    </w:p>
    <w:p>
      <w:pPr>
        <w:pStyle w:val="ListNumber"/>
        <w:spacing w:after="40"/>
      </w:pPr>
      <w:r>
        <w:t>Analysis: calculate descriptive statistics, rates with valid denominators, time trends, and comparable group summaries; use advanced methods only when justified.</w:t>
      </w:r>
    </w:p>
    <w:p>
      <w:pPr>
        <w:pStyle w:val="ListNumber"/>
        <w:spacing w:after="40"/>
      </w:pPr>
      <w:r>
        <w:t>Validation: check row counts, formulas, units, time periods, missingness, outliers, and consistency with source metadata.</w:t>
      </w:r>
    </w:p>
    <w:p>
      <w:pPr>
        <w:pStyle w:val="ListNumber"/>
        <w:spacing w:after="40"/>
      </w:pPr>
      <w:r>
        <w:t>Reporting: create source-labelled visualizations, explain interpretations and caveats, and link recommendations to evidence.</w:t>
      </w:r>
    </w:p>
    <w:p>
      <w:pPr>
        <w:pStyle w:val="Heading2"/>
      </w:pPr>
      <w:r>
        <w:t>2.2 Python tools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6"/>
              </w:rPr>
              <w:t>Tool</w:t>
            </w:r>
          </w:p>
        </w:tc>
        <w:tc>
          <w:tcPr>
            <w:tcW w:type="dxa" w:w="5040"/>
            <w:vAlign w:val="center"/>
            <w:shd w:fill="17365D"/>
          </w:tcPr>
          <w:p>
            <w:pPr>
              <w:spacing w:after="20"/>
            </w:pPr>
            <w:r/>
            <w:r>
              <w:rPr>
                <w:rFonts w:ascii="Aptos" w:hAnsi="Aptos"/>
                <w:b/>
                <w:color w:val="FFFFFF"/>
                <w:sz w:val="16"/>
              </w:rPr>
              <w:t>Role in the project</w:t>
            </w:r>
          </w:p>
        </w:tc>
      </w:tr>
      <w:tr>
        <w:tc>
          <w:tcPr>
            <w:tcW w:type="dxa" w:w="5040"/>
            <w:vAlign w:val="center"/>
          </w:tcPr>
          <w:p>
            <w:pPr>
              <w:spacing w:after="20"/>
            </w:pPr>
            <w:r/>
            <w:r>
              <w:rPr>
                <w:rFonts w:ascii="Aptos" w:hAnsi="Aptos"/>
                <w:b w:val="0"/>
                <w:sz w:val="15"/>
              </w:rPr>
              <w:t>pandas</w:t>
            </w:r>
          </w:p>
        </w:tc>
        <w:tc>
          <w:tcPr>
            <w:tcW w:type="dxa" w:w="5040"/>
            <w:vAlign w:val="center"/>
          </w:tcPr>
          <w:p>
            <w:pPr>
              <w:spacing w:after="20"/>
            </w:pPr>
            <w:r/>
            <w:r>
              <w:rPr>
                <w:rFonts w:ascii="Aptos" w:hAnsi="Aptos"/>
                <w:b w:val="0"/>
                <w:sz w:val="15"/>
              </w:rPr>
              <w:t>Load, filter, aggregate, join, and summarize tabular data.</w:t>
            </w:r>
          </w:p>
        </w:tc>
      </w:tr>
      <w:tr>
        <w:tc>
          <w:tcPr>
            <w:tcW w:type="dxa" w:w="5040"/>
            <w:vAlign w:val="center"/>
            <w:shd w:fill="F1F5F9"/>
          </w:tcPr>
          <w:p>
            <w:pPr>
              <w:spacing w:after="20"/>
            </w:pPr>
            <w:r/>
            <w:r>
              <w:rPr>
                <w:rFonts w:ascii="Aptos" w:hAnsi="Aptos"/>
                <w:b w:val="0"/>
                <w:sz w:val="15"/>
              </w:rPr>
              <w:t>NumPy</w:t>
            </w:r>
          </w:p>
        </w:tc>
        <w:tc>
          <w:tcPr>
            <w:tcW w:type="dxa" w:w="5040"/>
            <w:vAlign w:val="center"/>
            <w:shd w:fill="F1F5F9"/>
          </w:tcPr>
          <w:p>
            <w:pPr>
              <w:spacing w:after="20"/>
            </w:pPr>
            <w:r/>
            <w:r>
              <w:rPr>
                <w:rFonts w:ascii="Aptos" w:hAnsi="Aptos"/>
                <w:b w:val="0"/>
                <w:sz w:val="15"/>
              </w:rPr>
              <w:t>Numerical operations and missing-value-aware calculations.</w:t>
            </w:r>
          </w:p>
        </w:tc>
      </w:tr>
      <w:tr>
        <w:tc>
          <w:tcPr>
            <w:tcW w:type="dxa" w:w="5040"/>
            <w:vAlign w:val="center"/>
          </w:tcPr>
          <w:p>
            <w:pPr>
              <w:spacing w:after="20"/>
            </w:pPr>
            <w:r/>
            <w:r>
              <w:rPr>
                <w:rFonts w:ascii="Aptos" w:hAnsi="Aptos"/>
                <w:b w:val="0"/>
                <w:sz w:val="15"/>
              </w:rPr>
              <w:t>Matplotlib / Seaborn</w:t>
            </w:r>
          </w:p>
        </w:tc>
        <w:tc>
          <w:tcPr>
            <w:tcW w:type="dxa" w:w="5040"/>
            <w:vAlign w:val="center"/>
          </w:tcPr>
          <w:p>
            <w:pPr>
              <w:spacing w:after="20"/>
            </w:pPr>
            <w:r/>
            <w:r>
              <w:rPr>
                <w:rFonts w:ascii="Aptos" w:hAnsi="Aptos"/>
                <w:b w:val="0"/>
                <w:sz w:val="15"/>
              </w:rPr>
              <w:t>Produce trend charts, comparisons, distributions, and diagnostic visualizations.</w:t>
            </w:r>
          </w:p>
        </w:tc>
      </w:tr>
      <w:tr>
        <w:tc>
          <w:tcPr>
            <w:tcW w:type="dxa" w:w="5040"/>
            <w:vAlign w:val="center"/>
            <w:shd w:fill="F1F5F9"/>
          </w:tcPr>
          <w:p>
            <w:pPr>
              <w:spacing w:after="20"/>
            </w:pPr>
            <w:r/>
            <w:r>
              <w:rPr>
                <w:rFonts w:ascii="Aptos" w:hAnsi="Aptos"/>
                <w:b w:val="0"/>
                <w:sz w:val="15"/>
              </w:rPr>
              <w:t>SciPy</w:t>
            </w:r>
          </w:p>
        </w:tc>
        <w:tc>
          <w:tcPr>
            <w:tcW w:type="dxa" w:w="5040"/>
            <w:vAlign w:val="center"/>
            <w:shd w:fill="F1F5F9"/>
          </w:tcPr>
          <w:p>
            <w:pPr>
              <w:spacing w:after="20"/>
            </w:pPr>
            <w:r/>
            <w:r>
              <w:rPr>
                <w:rFonts w:ascii="Aptos" w:hAnsi="Aptos"/>
                <w:b w:val="0"/>
                <w:sz w:val="15"/>
              </w:rPr>
              <w:t>Optional statistical tests or association measures when assumptions are suitable.</w:t>
            </w:r>
          </w:p>
        </w:tc>
      </w:tr>
      <w:tr>
        <w:tc>
          <w:tcPr>
            <w:tcW w:type="dxa" w:w="5040"/>
            <w:vAlign w:val="center"/>
          </w:tcPr>
          <w:p>
            <w:pPr>
              <w:spacing w:after="20"/>
            </w:pPr>
            <w:r/>
            <w:r>
              <w:rPr>
                <w:rFonts w:ascii="Aptos" w:hAnsi="Aptos"/>
                <w:b w:val="0"/>
                <w:sz w:val="15"/>
              </w:rPr>
              <w:t>scikit-learn</w:t>
            </w:r>
          </w:p>
        </w:tc>
        <w:tc>
          <w:tcPr>
            <w:tcW w:type="dxa" w:w="5040"/>
            <w:vAlign w:val="center"/>
          </w:tcPr>
          <w:p>
            <w:pPr>
              <w:spacing w:after="20"/>
            </w:pPr>
            <w:r/>
            <w:r>
              <w:rPr>
                <w:rFonts w:ascii="Aptos" w:hAnsi="Aptos"/>
                <w:b w:val="0"/>
                <w:sz w:val="15"/>
              </w:rPr>
              <w:t>Optional scaling, clustering, or modelling when the question and data justify it.</w:t>
            </w:r>
          </w:p>
        </w:tc>
      </w:tr>
      <w:tr>
        <w:tc>
          <w:tcPr>
            <w:tcW w:type="dxa" w:w="5040"/>
            <w:vAlign w:val="center"/>
            <w:shd w:fill="F1F5F9"/>
          </w:tcPr>
          <w:p>
            <w:pPr>
              <w:spacing w:after="20"/>
            </w:pPr>
            <w:r/>
            <w:r>
              <w:rPr>
                <w:rFonts w:ascii="Aptos" w:hAnsi="Aptos"/>
                <w:b w:val="0"/>
                <w:sz w:val="15"/>
              </w:rPr>
              <w:t>Jupyter Notebook</w:t>
            </w:r>
          </w:p>
        </w:tc>
        <w:tc>
          <w:tcPr>
            <w:tcW w:type="dxa" w:w="5040"/>
            <w:vAlign w:val="center"/>
            <w:shd w:fill="F1F5F9"/>
          </w:tcPr>
          <w:p>
            <w:pPr>
              <w:spacing w:after="20"/>
            </w:pPr>
            <w:r/>
            <w:r>
              <w:rPr>
                <w:rFonts w:ascii="Aptos" w:hAnsi="Aptos"/>
                <w:b w:val="0"/>
                <w:sz w:val="15"/>
              </w:rPr>
              <w:t>Combine code, outputs, and interpretation in a reproducible workflow.</w:t>
            </w:r>
          </w:p>
        </w:tc>
      </w:tr>
    </w:tbl>
    <w:p/>
    <w:p>
      <w:r>
        <w:t>Only methods actually used should be listed as completed in the final empirical report. In this strategic plan, they are proposed tools and methods.</w:t>
      </w:r>
    </w:p>
    <w:p>
      <w:pPr>
        <w:pStyle w:val="Heading1"/>
      </w:pPr>
      <w:r>
        <w:t>3. Evaluation Framework</w:t>
      </w:r>
    </w:p>
    <w:p>
      <w:r>
        <w:t>Each result should be evaluated against data validity, analytical suitability, interpretability, and decision relevance. The following checklist is intended for every major KPI or chart.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6"/>
              </w:rPr>
              <w:t>Evaluation dimension</w:t>
            </w:r>
          </w:p>
        </w:tc>
        <w:tc>
          <w:tcPr>
            <w:tcW w:type="dxa" w:w="3360"/>
            <w:vAlign w:val="center"/>
            <w:shd w:fill="17365D"/>
          </w:tcPr>
          <w:p>
            <w:pPr>
              <w:spacing w:after="20"/>
            </w:pPr>
            <w:r/>
            <w:r>
              <w:rPr>
                <w:rFonts w:ascii="Aptos" w:hAnsi="Aptos"/>
                <w:b/>
                <w:color w:val="FFFFFF"/>
                <w:sz w:val="16"/>
              </w:rPr>
              <w:t>Questions / checks</w:t>
            </w:r>
          </w:p>
        </w:tc>
        <w:tc>
          <w:tcPr>
            <w:tcW w:type="dxa" w:w="3360"/>
            <w:vAlign w:val="center"/>
            <w:shd w:fill="17365D"/>
          </w:tcPr>
          <w:p>
            <w:pPr>
              <w:spacing w:after="20"/>
            </w:pPr>
            <w:r/>
            <w:r>
              <w:rPr>
                <w:rFonts w:ascii="Aptos" w:hAnsi="Aptos"/>
                <w:b/>
                <w:color w:val="FFFFFF"/>
                <w:sz w:val="16"/>
              </w:rPr>
              <w:t>Evidence to retain</w:t>
            </w:r>
          </w:p>
        </w:tc>
      </w:tr>
      <w:tr>
        <w:tc>
          <w:tcPr>
            <w:tcW w:type="dxa" w:w="3360"/>
            <w:vAlign w:val="center"/>
          </w:tcPr>
          <w:p>
            <w:pPr>
              <w:spacing w:after="20"/>
            </w:pPr>
            <w:r/>
            <w:r>
              <w:rPr>
                <w:rFonts w:ascii="Aptos" w:hAnsi="Aptos"/>
                <w:b w:val="0"/>
                <w:sz w:val="15"/>
              </w:rPr>
              <w:t>Source validity</w:t>
            </w:r>
          </w:p>
        </w:tc>
        <w:tc>
          <w:tcPr>
            <w:tcW w:type="dxa" w:w="3360"/>
            <w:vAlign w:val="center"/>
          </w:tcPr>
          <w:p>
            <w:pPr>
              <w:spacing w:after="20"/>
            </w:pPr>
            <w:r/>
            <w:r>
              <w:rPr>
                <w:rFonts w:ascii="Aptos" w:hAnsi="Aptos"/>
                <w:b w:val="0"/>
                <w:sz w:val="15"/>
              </w:rPr>
              <w:t>Is the publisher credible? Is the selected file/version traceable?</w:t>
            </w:r>
          </w:p>
        </w:tc>
        <w:tc>
          <w:tcPr>
            <w:tcW w:type="dxa" w:w="3360"/>
            <w:vAlign w:val="center"/>
          </w:tcPr>
          <w:p>
            <w:pPr>
              <w:spacing w:after="20"/>
            </w:pPr>
            <w:r/>
            <w:r>
              <w:rPr>
                <w:rFonts w:ascii="Aptos" w:hAnsi="Aptos"/>
                <w:b w:val="0"/>
                <w:sz w:val="15"/>
              </w:rPr>
              <w:t>URL, access date, release, licence, and source notes.</w:t>
            </w:r>
          </w:p>
        </w:tc>
      </w:tr>
      <w:tr>
        <w:tc>
          <w:tcPr>
            <w:tcW w:type="dxa" w:w="3360"/>
            <w:vAlign w:val="center"/>
            <w:shd w:fill="F1F5F9"/>
          </w:tcPr>
          <w:p>
            <w:pPr>
              <w:spacing w:after="20"/>
            </w:pPr>
            <w:r/>
            <w:r>
              <w:rPr>
                <w:rFonts w:ascii="Aptos" w:hAnsi="Aptos"/>
                <w:b w:val="0"/>
                <w:sz w:val="15"/>
              </w:rPr>
              <w:t>Data quality</w:t>
            </w:r>
          </w:p>
        </w:tc>
        <w:tc>
          <w:tcPr>
            <w:tcW w:type="dxa" w:w="3360"/>
            <w:vAlign w:val="center"/>
            <w:shd w:fill="F1F5F9"/>
          </w:tcPr>
          <w:p>
            <w:pPr>
              <w:spacing w:after="20"/>
            </w:pPr>
            <w:r/>
            <w:r>
              <w:rPr>
                <w:rFonts w:ascii="Aptos" w:hAnsi="Aptos"/>
                <w:b w:val="0"/>
                <w:sz w:val="15"/>
              </w:rPr>
              <w:t>Are missing values, duplicates, and invalid values quantified?</w:t>
            </w:r>
          </w:p>
        </w:tc>
        <w:tc>
          <w:tcPr>
            <w:tcW w:type="dxa" w:w="3360"/>
            <w:vAlign w:val="center"/>
            <w:shd w:fill="F1F5F9"/>
          </w:tcPr>
          <w:p>
            <w:pPr>
              <w:spacing w:after="20"/>
            </w:pPr>
            <w:r/>
            <w:r>
              <w:rPr>
                <w:rFonts w:ascii="Aptos" w:hAnsi="Aptos"/>
                <w:b w:val="0"/>
                <w:sz w:val="15"/>
              </w:rPr>
              <w:t>Quality report and cleaning log.</w:t>
            </w:r>
          </w:p>
        </w:tc>
      </w:tr>
      <w:tr>
        <w:tc>
          <w:tcPr>
            <w:tcW w:type="dxa" w:w="3360"/>
            <w:vAlign w:val="center"/>
          </w:tcPr>
          <w:p>
            <w:pPr>
              <w:spacing w:after="20"/>
            </w:pPr>
            <w:r/>
            <w:r>
              <w:rPr>
                <w:rFonts w:ascii="Aptos" w:hAnsi="Aptos"/>
                <w:b w:val="0"/>
                <w:sz w:val="15"/>
              </w:rPr>
              <w:t>Definition and comparability</w:t>
            </w:r>
          </w:p>
        </w:tc>
        <w:tc>
          <w:tcPr>
            <w:tcW w:type="dxa" w:w="3360"/>
            <w:vAlign w:val="center"/>
          </w:tcPr>
          <w:p>
            <w:pPr>
              <w:spacing w:after="20"/>
            </w:pPr>
            <w:r/>
            <w:r>
              <w:rPr>
                <w:rFonts w:ascii="Aptos" w:hAnsi="Aptos"/>
                <w:b w:val="0"/>
                <w:sz w:val="15"/>
              </w:rPr>
              <w:t>Are periods, units, geography, and denominators consistent?</w:t>
            </w:r>
          </w:p>
        </w:tc>
        <w:tc>
          <w:tcPr>
            <w:tcW w:type="dxa" w:w="3360"/>
            <w:vAlign w:val="center"/>
          </w:tcPr>
          <w:p>
            <w:pPr>
              <w:spacing w:after="20"/>
            </w:pPr>
            <w:r/>
            <w:r>
              <w:rPr>
                <w:rFonts w:ascii="Aptos" w:hAnsi="Aptos"/>
                <w:b w:val="0"/>
                <w:sz w:val="15"/>
              </w:rPr>
              <w:t>Data dictionary and comparison rules.</w:t>
            </w:r>
          </w:p>
        </w:tc>
      </w:tr>
      <w:tr>
        <w:tc>
          <w:tcPr>
            <w:tcW w:type="dxa" w:w="3360"/>
            <w:vAlign w:val="center"/>
            <w:shd w:fill="F1F5F9"/>
          </w:tcPr>
          <w:p>
            <w:pPr>
              <w:spacing w:after="20"/>
            </w:pPr>
            <w:r/>
            <w:r>
              <w:rPr>
                <w:rFonts w:ascii="Aptos" w:hAnsi="Aptos"/>
                <w:b w:val="0"/>
                <w:sz w:val="15"/>
              </w:rPr>
              <w:t>Method suitability</w:t>
            </w:r>
          </w:p>
        </w:tc>
        <w:tc>
          <w:tcPr>
            <w:tcW w:type="dxa" w:w="3360"/>
            <w:vAlign w:val="center"/>
            <w:shd w:fill="F1F5F9"/>
          </w:tcPr>
          <w:p>
            <w:pPr>
              <w:spacing w:after="20"/>
            </w:pPr>
            <w:r/>
            <w:r>
              <w:rPr>
                <w:rFonts w:ascii="Aptos" w:hAnsi="Aptos"/>
                <w:b w:val="0"/>
                <w:sz w:val="15"/>
              </w:rPr>
              <w:t>Does the method answer the question and meet its assumptions?</w:t>
            </w:r>
          </w:p>
        </w:tc>
        <w:tc>
          <w:tcPr>
            <w:tcW w:type="dxa" w:w="3360"/>
            <w:vAlign w:val="center"/>
            <w:shd w:fill="F1F5F9"/>
          </w:tcPr>
          <w:p>
            <w:pPr>
              <w:spacing w:after="20"/>
            </w:pPr>
            <w:r/>
            <w:r>
              <w:rPr>
                <w:rFonts w:ascii="Aptos" w:hAnsi="Aptos"/>
                <w:b w:val="0"/>
                <w:sz w:val="15"/>
              </w:rPr>
              <w:t>Formula, assumptions, code, and diagnostics.</w:t>
            </w:r>
          </w:p>
        </w:tc>
      </w:tr>
      <w:tr>
        <w:tc>
          <w:tcPr>
            <w:tcW w:type="dxa" w:w="3360"/>
            <w:vAlign w:val="center"/>
          </w:tcPr>
          <w:p>
            <w:pPr>
              <w:spacing w:after="20"/>
            </w:pPr>
            <w:r/>
            <w:r>
              <w:rPr>
                <w:rFonts w:ascii="Aptos" w:hAnsi="Aptos"/>
                <w:b w:val="0"/>
                <w:sz w:val="15"/>
              </w:rPr>
              <w:t>Robustness</w:t>
            </w:r>
          </w:p>
        </w:tc>
        <w:tc>
          <w:tcPr>
            <w:tcW w:type="dxa" w:w="3360"/>
            <w:vAlign w:val="center"/>
          </w:tcPr>
          <w:p>
            <w:pPr>
              <w:spacing w:after="20"/>
            </w:pPr>
            <w:r/>
            <w:r>
              <w:rPr>
                <w:rFonts w:ascii="Aptos" w:hAnsi="Aptos"/>
                <w:b w:val="0"/>
                <w:sz w:val="15"/>
              </w:rPr>
              <w:t>Would reasonable data choices change the conclusion?</w:t>
            </w:r>
          </w:p>
        </w:tc>
        <w:tc>
          <w:tcPr>
            <w:tcW w:type="dxa" w:w="3360"/>
            <w:vAlign w:val="center"/>
          </w:tcPr>
          <w:p>
            <w:pPr>
              <w:spacing w:after="20"/>
            </w:pPr>
            <w:r/>
            <w:r>
              <w:rPr>
                <w:rFonts w:ascii="Aptos" w:hAnsi="Aptos"/>
                <w:b w:val="0"/>
                <w:sz w:val="15"/>
              </w:rPr>
              <w:t>Sensitivity checks and notes on exclusions.</w:t>
            </w:r>
          </w:p>
        </w:tc>
      </w:tr>
      <w:tr>
        <w:tc>
          <w:tcPr>
            <w:tcW w:type="dxa" w:w="3360"/>
            <w:vAlign w:val="center"/>
            <w:shd w:fill="F1F5F9"/>
          </w:tcPr>
          <w:p>
            <w:pPr>
              <w:spacing w:after="20"/>
            </w:pPr>
            <w:r/>
            <w:r>
              <w:rPr>
                <w:rFonts w:ascii="Aptos" w:hAnsi="Aptos"/>
                <w:b w:val="0"/>
                <w:sz w:val="15"/>
              </w:rPr>
              <w:t>Communication</w:t>
            </w:r>
          </w:p>
        </w:tc>
        <w:tc>
          <w:tcPr>
            <w:tcW w:type="dxa" w:w="3360"/>
            <w:vAlign w:val="center"/>
            <w:shd w:fill="F1F5F9"/>
          </w:tcPr>
          <w:p>
            <w:pPr>
              <w:spacing w:after="20"/>
            </w:pPr>
            <w:r/>
            <w:r>
              <w:rPr>
                <w:rFonts w:ascii="Aptos" w:hAnsi="Aptos"/>
                <w:b w:val="0"/>
                <w:sz w:val="15"/>
              </w:rPr>
              <w:t>Does the chart show units, period, source, and uncertainty?</w:t>
            </w:r>
          </w:p>
        </w:tc>
        <w:tc>
          <w:tcPr>
            <w:tcW w:type="dxa" w:w="3360"/>
            <w:vAlign w:val="center"/>
            <w:shd w:fill="F1F5F9"/>
          </w:tcPr>
          <w:p>
            <w:pPr>
              <w:spacing w:after="20"/>
            </w:pPr>
            <w:r/>
            <w:r>
              <w:rPr>
                <w:rFonts w:ascii="Aptos" w:hAnsi="Aptos"/>
                <w:b w:val="0"/>
                <w:sz w:val="15"/>
              </w:rPr>
              <w:t>Caption and interpretation paragraph.</w:t>
            </w:r>
          </w:p>
        </w:tc>
      </w:tr>
      <w:tr>
        <w:tc>
          <w:tcPr>
            <w:tcW w:type="dxa" w:w="3360"/>
            <w:vAlign w:val="center"/>
          </w:tcPr>
          <w:p>
            <w:pPr>
              <w:spacing w:after="20"/>
            </w:pPr>
            <w:r/>
            <w:r>
              <w:rPr>
                <w:rFonts w:ascii="Aptos" w:hAnsi="Aptos"/>
                <w:b w:val="0"/>
                <w:sz w:val="15"/>
              </w:rPr>
              <w:t>Decision relevance</w:t>
            </w:r>
          </w:p>
        </w:tc>
        <w:tc>
          <w:tcPr>
            <w:tcW w:type="dxa" w:w="3360"/>
            <w:vAlign w:val="center"/>
          </w:tcPr>
          <w:p>
            <w:pPr>
              <w:spacing w:after="20"/>
            </w:pPr>
            <w:r/>
            <w:r>
              <w:rPr>
                <w:rFonts w:ascii="Aptos" w:hAnsi="Aptos"/>
                <w:b w:val="0"/>
                <w:sz w:val="15"/>
              </w:rPr>
              <w:t>Is the recommendation linked to evidence and feasible?</w:t>
            </w:r>
          </w:p>
        </w:tc>
        <w:tc>
          <w:tcPr>
            <w:tcW w:type="dxa" w:w="3360"/>
            <w:vAlign w:val="center"/>
          </w:tcPr>
          <w:p>
            <w:pPr>
              <w:spacing w:after="20"/>
            </w:pPr>
            <w:r/>
            <w:r>
              <w:rPr>
                <w:rFonts w:ascii="Aptos" w:hAnsi="Aptos"/>
                <w:b w:val="0"/>
                <w:sz w:val="15"/>
              </w:rPr>
              <w:t>Finding-to-recommendation traceability table.</w:t>
            </w:r>
          </w:p>
        </w:tc>
      </w:tr>
    </w:tbl>
    <w:p/>
    <w:p>
      <w:pPr>
        <w:pStyle w:val="Heading2"/>
      </w:pPr>
      <w:r>
        <w:t>3.1 KPI evaluation examples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6"/>
              </w:rPr>
              <w:t>KPI</w:t>
            </w:r>
          </w:p>
        </w:tc>
        <w:tc>
          <w:tcPr>
            <w:tcW w:type="dxa" w:w="3360"/>
            <w:vAlign w:val="center"/>
            <w:shd w:fill="17365D"/>
          </w:tcPr>
          <w:p>
            <w:pPr>
              <w:spacing w:after="20"/>
            </w:pPr>
            <w:r/>
            <w:r>
              <w:rPr>
                <w:rFonts w:ascii="Aptos" w:hAnsi="Aptos"/>
                <w:b/>
                <w:color w:val="FFFFFF"/>
                <w:sz w:val="16"/>
              </w:rPr>
              <w:t>Validation checks</w:t>
            </w:r>
          </w:p>
        </w:tc>
        <w:tc>
          <w:tcPr>
            <w:tcW w:type="dxa" w:w="3360"/>
            <w:vAlign w:val="center"/>
            <w:shd w:fill="17365D"/>
          </w:tcPr>
          <w:p>
            <w:pPr>
              <w:spacing w:after="20"/>
            </w:pPr>
            <w:r/>
            <w:r>
              <w:rPr>
                <w:rFonts w:ascii="Aptos" w:hAnsi="Aptos"/>
                <w:b/>
                <w:color w:val="FFFFFF"/>
                <w:sz w:val="16"/>
              </w:rPr>
              <w:t>Interpretation rule</w:t>
            </w:r>
          </w:p>
        </w:tc>
      </w:tr>
      <w:tr>
        <w:tc>
          <w:tcPr>
            <w:tcW w:type="dxa" w:w="3360"/>
            <w:vAlign w:val="center"/>
          </w:tcPr>
          <w:p>
            <w:pPr>
              <w:spacing w:after="20"/>
            </w:pPr>
            <w:r/>
            <w:r>
              <w:rPr>
                <w:rFonts w:ascii="Aptos" w:hAnsi="Aptos"/>
                <w:b w:val="0"/>
                <w:sz w:val="15"/>
              </w:rPr>
              <w:t>Transaction volume</w:t>
            </w:r>
          </w:p>
        </w:tc>
        <w:tc>
          <w:tcPr>
            <w:tcW w:type="dxa" w:w="3360"/>
            <w:vAlign w:val="center"/>
          </w:tcPr>
          <w:p>
            <w:pPr>
              <w:spacing w:after="20"/>
            </w:pPr>
            <w:r/>
            <w:r>
              <w:rPr>
                <w:rFonts w:ascii="Aptos" w:hAnsi="Aptos"/>
                <w:b w:val="0"/>
                <w:sz w:val="15"/>
              </w:rPr>
              <w:t>Check period, service scope, duplicates, and reporting completeness.</w:t>
            </w:r>
          </w:p>
        </w:tc>
        <w:tc>
          <w:tcPr>
            <w:tcW w:type="dxa" w:w="3360"/>
            <w:vAlign w:val="center"/>
          </w:tcPr>
          <w:p>
            <w:pPr>
              <w:spacing w:after="20"/>
            </w:pPr>
            <w:r/>
            <w:r>
              <w:rPr>
                <w:rFonts w:ascii="Aptos" w:hAnsi="Aptos"/>
                <w:b w:val="0"/>
                <w:sz w:val="15"/>
              </w:rPr>
              <w:t>Use as an activity measure, not a standalone measure of service quality.</w:t>
            </w:r>
          </w:p>
        </w:tc>
      </w:tr>
      <w:tr>
        <w:tc>
          <w:tcPr>
            <w:tcW w:type="dxa" w:w="3360"/>
            <w:vAlign w:val="center"/>
            <w:shd w:fill="F1F5F9"/>
          </w:tcPr>
          <w:p>
            <w:pPr>
              <w:spacing w:after="20"/>
            </w:pPr>
            <w:r/>
            <w:r>
              <w:rPr>
                <w:rFonts w:ascii="Aptos" w:hAnsi="Aptos"/>
                <w:b w:val="0"/>
                <w:sz w:val="15"/>
              </w:rPr>
              <w:t>Completion rate</w:t>
            </w:r>
          </w:p>
        </w:tc>
        <w:tc>
          <w:tcPr>
            <w:tcW w:type="dxa" w:w="3360"/>
            <w:vAlign w:val="center"/>
            <w:shd w:fill="F1F5F9"/>
          </w:tcPr>
          <w:p>
            <w:pPr>
              <w:spacing w:after="20"/>
            </w:pPr>
            <w:r/>
            <w:r>
              <w:rPr>
                <w:rFonts w:ascii="Aptos" w:hAnsi="Aptos"/>
                <w:b w:val="0"/>
                <w:sz w:val="15"/>
              </w:rPr>
              <w:t>Verify numerator and denominator definitions and cohort alignment.</w:t>
            </w:r>
          </w:p>
        </w:tc>
        <w:tc>
          <w:tcPr>
            <w:tcW w:type="dxa" w:w="3360"/>
            <w:vAlign w:val="center"/>
            <w:shd w:fill="F1F5F9"/>
          </w:tcPr>
          <w:p>
            <w:pPr>
              <w:spacing w:after="20"/>
            </w:pPr>
            <w:r/>
            <w:r>
              <w:rPr>
                <w:rFonts w:ascii="Aptos" w:hAnsi="Aptos"/>
                <w:b w:val="0"/>
                <w:sz w:val="15"/>
              </w:rPr>
              <w:t>Do not calculate if the denominator is absent or incompatible.</w:t>
            </w:r>
          </w:p>
        </w:tc>
      </w:tr>
      <w:tr>
        <w:tc>
          <w:tcPr>
            <w:tcW w:type="dxa" w:w="3360"/>
            <w:vAlign w:val="center"/>
          </w:tcPr>
          <w:p>
            <w:pPr>
              <w:spacing w:after="20"/>
            </w:pPr>
            <w:r/>
            <w:r>
              <w:rPr>
                <w:rFonts w:ascii="Aptos" w:hAnsi="Aptos"/>
                <w:b w:val="0"/>
                <w:sz w:val="15"/>
              </w:rPr>
              <w:t>Processing time</w:t>
            </w:r>
          </w:p>
        </w:tc>
        <w:tc>
          <w:tcPr>
            <w:tcW w:type="dxa" w:w="3360"/>
            <w:vAlign w:val="center"/>
          </w:tcPr>
          <w:p>
            <w:pPr>
              <w:spacing w:after="20"/>
            </w:pPr>
            <w:r/>
            <w:r>
              <w:rPr>
                <w:rFonts w:ascii="Aptos" w:hAnsi="Aptos"/>
                <w:b w:val="0"/>
                <w:sz w:val="15"/>
              </w:rPr>
              <w:t>Check start/end event definitions, missing timestamps, and extreme values.</w:t>
            </w:r>
          </w:p>
        </w:tc>
        <w:tc>
          <w:tcPr>
            <w:tcW w:type="dxa" w:w="3360"/>
            <w:vAlign w:val="center"/>
          </w:tcPr>
          <w:p>
            <w:pPr>
              <w:spacing w:after="20"/>
            </w:pPr>
            <w:r/>
            <w:r>
              <w:rPr>
                <w:rFonts w:ascii="Aptos" w:hAnsi="Aptos"/>
                <w:b w:val="0"/>
                <w:sz w:val="15"/>
              </w:rPr>
              <w:t>Report median and sample size where suitable; disclose exclusions.</w:t>
            </w:r>
          </w:p>
        </w:tc>
      </w:tr>
      <w:tr>
        <w:tc>
          <w:tcPr>
            <w:tcW w:type="dxa" w:w="3360"/>
            <w:vAlign w:val="center"/>
            <w:shd w:fill="F1F5F9"/>
          </w:tcPr>
          <w:p>
            <w:pPr>
              <w:spacing w:after="20"/>
            </w:pPr>
            <w:r/>
            <w:r>
              <w:rPr>
                <w:rFonts w:ascii="Aptos" w:hAnsi="Aptos"/>
                <w:b w:val="0"/>
                <w:sz w:val="15"/>
              </w:rPr>
              <w:t>Grievance resolution</w:t>
            </w:r>
          </w:p>
        </w:tc>
        <w:tc>
          <w:tcPr>
            <w:tcW w:type="dxa" w:w="3360"/>
            <w:vAlign w:val="center"/>
            <w:shd w:fill="F1F5F9"/>
          </w:tcPr>
          <w:p>
            <w:pPr>
              <w:spacing w:after="20"/>
            </w:pPr>
            <w:r/>
            <w:r>
              <w:rPr>
                <w:rFonts w:ascii="Aptos" w:hAnsi="Aptos"/>
                <w:b w:val="0"/>
                <w:sz w:val="15"/>
              </w:rPr>
              <w:t>Check how 'received', 'resolved', and backlog are defined.</w:t>
            </w:r>
          </w:p>
        </w:tc>
        <w:tc>
          <w:tcPr>
            <w:tcW w:type="dxa" w:w="3360"/>
            <w:vAlign w:val="center"/>
            <w:shd w:fill="F1F5F9"/>
          </w:tcPr>
          <w:p>
            <w:pPr>
              <w:spacing w:after="20"/>
            </w:pPr>
            <w:r/>
            <w:r>
              <w:rPr>
                <w:rFonts w:ascii="Aptos" w:hAnsi="Aptos"/>
                <w:b w:val="0"/>
                <w:sz w:val="15"/>
              </w:rPr>
              <w:t>Do not assume period receipts and resolutions refer to the same cases.</w:t>
            </w:r>
          </w:p>
        </w:tc>
      </w:tr>
      <w:tr>
        <w:tc>
          <w:tcPr>
            <w:tcW w:type="dxa" w:w="3360"/>
            <w:vAlign w:val="center"/>
          </w:tcPr>
          <w:p>
            <w:pPr>
              <w:spacing w:after="20"/>
            </w:pPr>
            <w:r/>
            <w:r>
              <w:rPr>
                <w:rFonts w:ascii="Aptos" w:hAnsi="Aptos"/>
                <w:b w:val="0"/>
                <w:sz w:val="15"/>
              </w:rPr>
              <w:t>Data completeness</w:t>
            </w:r>
          </w:p>
        </w:tc>
        <w:tc>
          <w:tcPr>
            <w:tcW w:type="dxa" w:w="3360"/>
            <w:vAlign w:val="center"/>
          </w:tcPr>
          <w:p>
            <w:pPr>
              <w:spacing w:after="20"/>
            </w:pPr>
            <w:r/>
            <w:r>
              <w:rPr>
                <w:rFonts w:ascii="Aptos" w:hAnsi="Aptos"/>
                <w:b w:val="0"/>
                <w:sz w:val="15"/>
              </w:rPr>
              <w:t>Define expected records and required fields.</w:t>
            </w:r>
          </w:p>
        </w:tc>
        <w:tc>
          <w:tcPr>
            <w:tcW w:type="dxa" w:w="3360"/>
            <w:vAlign w:val="center"/>
          </w:tcPr>
          <w:p>
            <w:pPr>
              <w:spacing w:after="20"/>
            </w:pPr>
            <w:r/>
            <w:r>
              <w:rPr>
                <w:rFonts w:ascii="Aptos" w:hAnsi="Aptos"/>
                <w:b w:val="0"/>
                <w:sz w:val="15"/>
              </w:rPr>
              <w:t>A high completeness score does not prove the data are accurate.</w:t>
            </w:r>
          </w:p>
        </w:tc>
      </w:tr>
      <w:tr>
        <w:tc>
          <w:tcPr>
            <w:tcW w:type="dxa" w:w="3360"/>
            <w:vAlign w:val="center"/>
            <w:shd w:fill="F1F5F9"/>
          </w:tcPr>
          <w:p>
            <w:pPr>
              <w:spacing w:after="20"/>
            </w:pPr>
            <w:r/>
            <w:r>
              <w:rPr>
                <w:rFonts w:ascii="Aptos" w:hAnsi="Aptos"/>
                <w:b w:val="0"/>
                <w:sz w:val="15"/>
              </w:rPr>
              <w:t>Digital access context</w:t>
            </w:r>
          </w:p>
        </w:tc>
        <w:tc>
          <w:tcPr>
            <w:tcW w:type="dxa" w:w="3360"/>
            <w:vAlign w:val="center"/>
            <w:shd w:fill="F1F5F9"/>
          </w:tcPr>
          <w:p>
            <w:pPr>
              <w:spacing w:after="20"/>
            </w:pPr>
            <w:r/>
            <w:r>
              <w:rPr>
                <w:rFonts w:ascii="Aptos" w:hAnsi="Aptos"/>
                <w:b w:val="0"/>
                <w:sz w:val="15"/>
              </w:rPr>
              <w:t>Align geography and period where possible.</w:t>
            </w:r>
          </w:p>
        </w:tc>
        <w:tc>
          <w:tcPr>
            <w:tcW w:type="dxa" w:w="3360"/>
            <w:vAlign w:val="center"/>
            <w:shd w:fill="F1F5F9"/>
          </w:tcPr>
          <w:p>
            <w:pPr>
              <w:spacing w:after="20"/>
            </w:pPr>
            <w:r/>
            <w:r>
              <w:rPr>
                <w:rFonts w:ascii="Aptos" w:hAnsi="Aptos"/>
                <w:b w:val="0"/>
                <w:sz w:val="15"/>
              </w:rPr>
              <w:t>Treat as context; do not claim causal impact from correlation.</w:t>
            </w:r>
          </w:p>
        </w:tc>
      </w:tr>
    </w:tbl>
    <w:p/>
    <w:p>
      <w:pPr>
        <w:pStyle w:val="Heading1"/>
      </w:pPr>
      <w:r>
        <w:t>4. Visualization and Narrative Reporting Plan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20"/>
            </w:pPr>
            <w:r/>
            <w:r>
              <w:rPr>
                <w:rFonts w:ascii="Aptos" w:hAnsi="Aptos"/>
                <w:b/>
                <w:color w:val="FFFFFF"/>
                <w:sz w:val="16"/>
              </w:rPr>
              <w:t>Visualization</w:t>
            </w:r>
          </w:p>
        </w:tc>
        <w:tc>
          <w:tcPr>
            <w:tcW w:type="dxa" w:w="2520"/>
            <w:vAlign w:val="center"/>
            <w:shd w:fill="17365D"/>
          </w:tcPr>
          <w:p>
            <w:pPr>
              <w:spacing w:after="20"/>
            </w:pPr>
            <w:r/>
            <w:r>
              <w:rPr>
                <w:rFonts w:ascii="Aptos" w:hAnsi="Aptos"/>
                <w:b/>
                <w:color w:val="FFFFFF"/>
                <w:sz w:val="16"/>
              </w:rPr>
              <w:t>Purpose</w:t>
            </w:r>
          </w:p>
        </w:tc>
        <w:tc>
          <w:tcPr>
            <w:tcW w:type="dxa" w:w="2520"/>
            <w:vAlign w:val="center"/>
            <w:shd w:fill="17365D"/>
          </w:tcPr>
          <w:p>
            <w:pPr>
              <w:spacing w:after="20"/>
            </w:pPr>
            <w:r/>
            <w:r>
              <w:rPr>
                <w:rFonts w:ascii="Aptos" w:hAnsi="Aptos"/>
                <w:b/>
                <w:color w:val="FFFFFF"/>
                <w:sz w:val="16"/>
              </w:rPr>
              <w:t>Narrative should explain</w:t>
            </w:r>
          </w:p>
        </w:tc>
        <w:tc>
          <w:tcPr>
            <w:tcW w:type="dxa" w:w="2520"/>
            <w:vAlign w:val="center"/>
            <w:shd w:fill="17365D"/>
          </w:tcPr>
          <w:p>
            <w:pPr>
              <w:spacing w:after="20"/>
            </w:pPr>
            <w:r/>
            <w:r>
              <w:rPr>
                <w:rFonts w:ascii="Aptos" w:hAnsi="Aptos"/>
                <w:b/>
                <w:color w:val="FFFFFF"/>
                <w:sz w:val="16"/>
              </w:rPr>
              <w:t>Cautions</w:t>
            </w:r>
          </w:p>
        </w:tc>
      </w:tr>
      <w:tr>
        <w:tc>
          <w:tcPr>
            <w:tcW w:type="dxa" w:w="2520"/>
            <w:vAlign w:val="center"/>
          </w:tcPr>
          <w:p>
            <w:pPr>
              <w:spacing w:after="20"/>
            </w:pPr>
            <w:r/>
            <w:r>
              <w:rPr>
                <w:rFonts w:ascii="Aptos" w:hAnsi="Aptos"/>
                <w:b w:val="0"/>
                <w:sz w:val="15"/>
              </w:rPr>
              <w:t>Line chart</w:t>
            </w:r>
          </w:p>
        </w:tc>
        <w:tc>
          <w:tcPr>
            <w:tcW w:type="dxa" w:w="2520"/>
            <w:vAlign w:val="center"/>
          </w:tcPr>
          <w:p>
            <w:pPr>
              <w:spacing w:after="20"/>
            </w:pPr>
            <w:r/>
            <w:r>
              <w:rPr>
                <w:rFonts w:ascii="Aptos" w:hAnsi="Aptos"/>
                <w:b w:val="0"/>
                <w:sz w:val="15"/>
              </w:rPr>
              <w:t>Show how an indicator changes over time.</w:t>
            </w:r>
          </w:p>
        </w:tc>
        <w:tc>
          <w:tcPr>
            <w:tcW w:type="dxa" w:w="2520"/>
            <w:vAlign w:val="center"/>
          </w:tcPr>
          <w:p>
            <w:pPr>
              <w:spacing w:after="20"/>
            </w:pPr>
            <w:r/>
            <w:r>
              <w:rPr>
                <w:rFonts w:ascii="Aptos" w:hAnsi="Aptos"/>
                <w:b w:val="0"/>
                <w:sz w:val="15"/>
              </w:rPr>
              <w:t>Direction, major changes, data coverage, and plausible context.</w:t>
            </w:r>
          </w:p>
        </w:tc>
        <w:tc>
          <w:tcPr>
            <w:tcW w:type="dxa" w:w="2520"/>
            <w:vAlign w:val="center"/>
          </w:tcPr>
          <w:p>
            <w:pPr>
              <w:spacing w:after="20"/>
            </w:pPr>
            <w:r/>
            <w:r>
              <w:rPr>
                <w:rFonts w:ascii="Aptos" w:hAnsi="Aptos"/>
                <w:b w:val="0"/>
                <w:sz w:val="15"/>
              </w:rPr>
              <w:t>Mark gaps; avoid connecting incomparable periods.</w:t>
            </w:r>
          </w:p>
        </w:tc>
      </w:tr>
      <w:tr>
        <w:tc>
          <w:tcPr>
            <w:tcW w:type="dxa" w:w="2520"/>
            <w:vAlign w:val="center"/>
            <w:shd w:fill="F1F5F9"/>
          </w:tcPr>
          <w:p>
            <w:pPr>
              <w:spacing w:after="20"/>
            </w:pPr>
            <w:r/>
            <w:r>
              <w:rPr>
                <w:rFonts w:ascii="Aptos" w:hAnsi="Aptos"/>
                <w:b w:val="0"/>
                <w:sz w:val="15"/>
              </w:rPr>
              <w:t>Bar chart</w:t>
            </w:r>
          </w:p>
        </w:tc>
        <w:tc>
          <w:tcPr>
            <w:tcW w:type="dxa" w:w="2520"/>
            <w:vAlign w:val="center"/>
            <w:shd w:fill="F1F5F9"/>
          </w:tcPr>
          <w:p>
            <w:pPr>
              <w:spacing w:after="20"/>
            </w:pPr>
            <w:r/>
            <w:r>
              <w:rPr>
                <w:rFonts w:ascii="Aptos" w:hAnsi="Aptos"/>
                <w:b w:val="0"/>
                <w:sz w:val="15"/>
              </w:rPr>
              <w:t>Compare compatible services, categories, or locations.</w:t>
            </w:r>
          </w:p>
        </w:tc>
        <w:tc>
          <w:tcPr>
            <w:tcW w:type="dxa" w:w="2520"/>
            <w:vAlign w:val="center"/>
            <w:shd w:fill="F1F5F9"/>
          </w:tcPr>
          <w:p>
            <w:pPr>
              <w:spacing w:after="20"/>
            </w:pPr>
            <w:r/>
            <w:r>
              <w:rPr>
                <w:rFonts w:ascii="Aptos" w:hAnsi="Aptos"/>
                <w:b w:val="0"/>
                <w:sz w:val="15"/>
              </w:rPr>
              <w:t>Which groups differ and whether denominators are comparable.</w:t>
            </w:r>
          </w:p>
        </w:tc>
        <w:tc>
          <w:tcPr>
            <w:tcW w:type="dxa" w:w="2520"/>
            <w:vAlign w:val="center"/>
            <w:shd w:fill="F1F5F9"/>
          </w:tcPr>
          <w:p>
            <w:pPr>
              <w:spacing w:after="20"/>
            </w:pPr>
            <w:r/>
            <w:r>
              <w:rPr>
                <w:rFonts w:ascii="Aptos" w:hAnsi="Aptos"/>
                <w:b w:val="0"/>
                <w:sz w:val="15"/>
              </w:rPr>
              <w:t>Avoid rankings when coverage or definitions differ.</w:t>
            </w:r>
          </w:p>
        </w:tc>
      </w:tr>
      <w:tr>
        <w:tc>
          <w:tcPr>
            <w:tcW w:type="dxa" w:w="2520"/>
            <w:vAlign w:val="center"/>
          </w:tcPr>
          <w:p>
            <w:pPr>
              <w:spacing w:after="20"/>
            </w:pPr>
            <w:r/>
            <w:r>
              <w:rPr>
                <w:rFonts w:ascii="Aptos" w:hAnsi="Aptos"/>
                <w:b w:val="0"/>
                <w:sz w:val="15"/>
              </w:rPr>
              <w:t>Histogram / boxplot</w:t>
            </w:r>
          </w:p>
        </w:tc>
        <w:tc>
          <w:tcPr>
            <w:tcW w:type="dxa" w:w="2520"/>
            <w:vAlign w:val="center"/>
          </w:tcPr>
          <w:p>
            <w:pPr>
              <w:spacing w:after="20"/>
            </w:pPr>
            <w:r/>
            <w:r>
              <w:rPr>
                <w:rFonts w:ascii="Aptos" w:hAnsi="Aptos"/>
                <w:b w:val="0"/>
                <w:sz w:val="15"/>
              </w:rPr>
              <w:t>Show distribution and potential outliers.</w:t>
            </w:r>
          </w:p>
        </w:tc>
        <w:tc>
          <w:tcPr>
            <w:tcW w:type="dxa" w:w="2520"/>
            <w:vAlign w:val="center"/>
          </w:tcPr>
          <w:p>
            <w:pPr>
              <w:spacing w:after="20"/>
            </w:pPr>
            <w:r/>
            <w:r>
              <w:rPr>
                <w:rFonts w:ascii="Aptos" w:hAnsi="Aptos"/>
                <w:b w:val="0"/>
                <w:sz w:val="15"/>
              </w:rPr>
              <w:t>Skew, spread, extreme values, and how they were checked.</w:t>
            </w:r>
          </w:p>
        </w:tc>
        <w:tc>
          <w:tcPr>
            <w:tcW w:type="dxa" w:w="2520"/>
            <w:vAlign w:val="center"/>
          </w:tcPr>
          <w:p>
            <w:pPr>
              <w:spacing w:after="20"/>
            </w:pPr>
            <w:r/>
            <w:r>
              <w:rPr>
                <w:rFonts w:ascii="Aptos" w:hAnsi="Aptos"/>
                <w:b w:val="0"/>
                <w:sz w:val="15"/>
              </w:rPr>
              <w:t>Do not automatically remove extreme values.</w:t>
            </w:r>
          </w:p>
        </w:tc>
      </w:tr>
      <w:tr>
        <w:tc>
          <w:tcPr>
            <w:tcW w:type="dxa" w:w="2520"/>
            <w:vAlign w:val="center"/>
            <w:shd w:fill="F1F5F9"/>
          </w:tcPr>
          <w:p>
            <w:pPr>
              <w:spacing w:after="20"/>
            </w:pPr>
            <w:r/>
            <w:r>
              <w:rPr>
                <w:rFonts w:ascii="Aptos" w:hAnsi="Aptos"/>
                <w:b w:val="0"/>
                <w:sz w:val="15"/>
              </w:rPr>
              <w:t>Missingness chart/table</w:t>
            </w:r>
          </w:p>
        </w:tc>
        <w:tc>
          <w:tcPr>
            <w:tcW w:type="dxa" w:w="2520"/>
            <w:vAlign w:val="center"/>
            <w:shd w:fill="F1F5F9"/>
          </w:tcPr>
          <w:p>
            <w:pPr>
              <w:spacing w:after="20"/>
            </w:pPr>
            <w:r/>
            <w:r>
              <w:rPr>
                <w:rFonts w:ascii="Aptos" w:hAnsi="Aptos"/>
                <w:b w:val="0"/>
                <w:sz w:val="15"/>
              </w:rPr>
              <w:t>Show where records or fields are incomplete.</w:t>
            </w:r>
          </w:p>
        </w:tc>
        <w:tc>
          <w:tcPr>
            <w:tcW w:type="dxa" w:w="2520"/>
            <w:vAlign w:val="center"/>
            <w:shd w:fill="F1F5F9"/>
          </w:tcPr>
          <w:p>
            <w:pPr>
              <w:spacing w:after="20"/>
            </w:pPr>
            <w:r/>
            <w:r>
              <w:rPr>
                <w:rFonts w:ascii="Aptos" w:hAnsi="Aptos"/>
                <w:b w:val="0"/>
                <w:sz w:val="15"/>
              </w:rPr>
              <w:t>Which variables or periods limit confidence.</w:t>
            </w:r>
          </w:p>
        </w:tc>
        <w:tc>
          <w:tcPr>
            <w:tcW w:type="dxa" w:w="2520"/>
            <w:vAlign w:val="center"/>
            <w:shd w:fill="F1F5F9"/>
          </w:tcPr>
          <w:p>
            <w:pPr>
              <w:spacing w:after="20"/>
            </w:pPr>
            <w:r/>
            <w:r>
              <w:rPr>
                <w:rFonts w:ascii="Aptos" w:hAnsi="Aptos"/>
                <w:b w:val="0"/>
                <w:sz w:val="15"/>
              </w:rPr>
              <w:t>Missing data may not be random.</w:t>
            </w:r>
          </w:p>
        </w:tc>
      </w:tr>
      <w:tr>
        <w:tc>
          <w:tcPr>
            <w:tcW w:type="dxa" w:w="2520"/>
            <w:vAlign w:val="center"/>
          </w:tcPr>
          <w:p>
            <w:pPr>
              <w:spacing w:after="20"/>
            </w:pPr>
            <w:r/>
            <w:r>
              <w:rPr>
                <w:rFonts w:ascii="Aptos" w:hAnsi="Aptos"/>
                <w:b w:val="0"/>
                <w:sz w:val="15"/>
              </w:rPr>
              <w:t>Scatterplot</w:t>
            </w:r>
          </w:p>
        </w:tc>
        <w:tc>
          <w:tcPr>
            <w:tcW w:type="dxa" w:w="2520"/>
            <w:vAlign w:val="center"/>
          </w:tcPr>
          <w:p>
            <w:pPr>
              <w:spacing w:after="20"/>
            </w:pPr>
            <w:r/>
            <w:r>
              <w:rPr>
                <w:rFonts w:ascii="Aptos" w:hAnsi="Aptos"/>
                <w:b w:val="0"/>
                <w:sz w:val="15"/>
              </w:rPr>
              <w:t>Explore association between two numeric indicators.</w:t>
            </w:r>
          </w:p>
        </w:tc>
        <w:tc>
          <w:tcPr>
            <w:tcW w:type="dxa" w:w="2520"/>
            <w:vAlign w:val="center"/>
          </w:tcPr>
          <w:p>
            <w:pPr>
              <w:spacing w:after="20"/>
            </w:pPr>
            <w:r/>
            <w:r>
              <w:rPr>
                <w:rFonts w:ascii="Aptos" w:hAnsi="Aptos"/>
                <w:b w:val="0"/>
                <w:sz w:val="15"/>
              </w:rPr>
              <w:t>Direction, strength, sample size, and alternative explanations.</w:t>
            </w:r>
          </w:p>
        </w:tc>
        <w:tc>
          <w:tcPr>
            <w:tcW w:type="dxa" w:w="2520"/>
            <w:vAlign w:val="center"/>
          </w:tcPr>
          <w:p>
            <w:pPr>
              <w:spacing w:after="20"/>
            </w:pPr>
            <w:r/>
            <w:r>
              <w:rPr>
                <w:rFonts w:ascii="Aptos" w:hAnsi="Aptos"/>
                <w:b w:val="0"/>
                <w:sz w:val="15"/>
              </w:rPr>
              <w:t>Association is not causation.</w:t>
            </w:r>
          </w:p>
        </w:tc>
      </w:tr>
      <w:tr>
        <w:tc>
          <w:tcPr>
            <w:tcW w:type="dxa" w:w="2520"/>
            <w:vAlign w:val="center"/>
            <w:shd w:fill="F1F5F9"/>
          </w:tcPr>
          <w:p>
            <w:pPr>
              <w:spacing w:after="20"/>
            </w:pPr>
            <w:r/>
            <w:r>
              <w:rPr>
                <w:rFonts w:ascii="Aptos" w:hAnsi="Aptos"/>
                <w:b w:val="0"/>
                <w:sz w:val="15"/>
              </w:rPr>
              <w:t>Summary table</w:t>
            </w:r>
          </w:p>
        </w:tc>
        <w:tc>
          <w:tcPr>
            <w:tcW w:type="dxa" w:w="2520"/>
            <w:vAlign w:val="center"/>
            <w:shd w:fill="F1F5F9"/>
          </w:tcPr>
          <w:p>
            <w:pPr>
              <w:spacing w:after="20"/>
            </w:pPr>
            <w:r/>
            <w:r>
              <w:rPr>
                <w:rFonts w:ascii="Aptos" w:hAnsi="Aptos"/>
                <w:b w:val="0"/>
                <w:sz w:val="15"/>
              </w:rPr>
              <w:t>Present key descriptive statistics and KPI values.</w:t>
            </w:r>
          </w:p>
        </w:tc>
        <w:tc>
          <w:tcPr>
            <w:tcW w:type="dxa" w:w="2520"/>
            <w:vAlign w:val="center"/>
            <w:shd w:fill="F1F5F9"/>
          </w:tcPr>
          <w:p>
            <w:pPr>
              <w:spacing w:after="20"/>
            </w:pPr>
            <w:r/>
            <w:r>
              <w:rPr>
                <w:rFonts w:ascii="Aptos" w:hAnsi="Aptos"/>
                <w:b w:val="0"/>
                <w:sz w:val="15"/>
              </w:rPr>
              <w:t>What each measure means and what it does not show.</w:t>
            </w:r>
          </w:p>
        </w:tc>
        <w:tc>
          <w:tcPr>
            <w:tcW w:type="dxa" w:w="2520"/>
            <w:vAlign w:val="center"/>
            <w:shd w:fill="F1F5F9"/>
          </w:tcPr>
          <w:p>
            <w:pPr>
              <w:spacing w:after="20"/>
            </w:pPr>
            <w:r/>
            <w:r>
              <w:rPr>
                <w:rFonts w:ascii="Aptos" w:hAnsi="Aptos"/>
                <w:b w:val="0"/>
                <w:sz w:val="15"/>
              </w:rPr>
              <w:t>Always include units, periods, and relevant denominators.</w:t>
            </w:r>
          </w:p>
        </w:tc>
      </w:tr>
    </w:tbl>
    <w:p/>
    <w:p>
      <w:pPr>
        <w:pStyle w:val="Heading2"/>
      </w:pPr>
      <w:r>
        <w:t>4.1 Standard chart annotation</w:t>
      </w:r>
    </w:p>
    <w:p>
      <w:pPr>
        <w:pStyle w:val="ListBullet"/>
        <w:spacing w:after="40"/>
      </w:pPr>
      <w:r>
        <w:t>Title: state the indicator and population/service clearly.</w:t>
      </w:r>
    </w:p>
    <w:p>
      <w:pPr>
        <w:pStyle w:val="ListBullet"/>
        <w:spacing w:after="40"/>
      </w:pPr>
      <w:r>
        <w:t>Axes: include units, date range, and readable category labels.</w:t>
      </w:r>
    </w:p>
    <w:p>
      <w:pPr>
        <w:pStyle w:val="ListBullet"/>
        <w:spacing w:after="40"/>
      </w:pPr>
      <w:r>
        <w:t>Source: name the dataset publisher and reporting period.</w:t>
      </w:r>
    </w:p>
    <w:p>
      <w:pPr>
        <w:pStyle w:val="ListBullet"/>
        <w:spacing w:after="40"/>
      </w:pPr>
      <w:r>
        <w:t>Caption: explain the main pattern without overstating its importance.</w:t>
      </w:r>
    </w:p>
    <w:p>
      <w:pPr>
        <w:pStyle w:val="ListBullet"/>
        <w:spacing w:after="40"/>
      </w:pPr>
      <w:r>
        <w:t>Caveat: note missing periods, small samples, changing definitions, or non-comparable groups.</w:t>
      </w:r>
    </w:p>
    <w:p>
      <w:pPr>
        <w:pStyle w:val="Heading1"/>
      </w:pPr>
      <w:r>
        <w:t>5. Illustrative Findings and Interpretation</w:t>
      </w:r>
    </w:p>
    <w:p>
      <w:r>
        <w:t>Because this assignment provides task instructions rather than a validated dataset, the examples below are hypothetical scenarios showing how findings should be reported. They are not actual findings about any government service, state, or department. Replace them with computed results after running the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6"/>
              </w:rPr>
              <w:t>Hypothetical observation</w:t>
            </w:r>
          </w:p>
        </w:tc>
        <w:tc>
          <w:tcPr>
            <w:tcW w:type="dxa" w:w="3360"/>
            <w:vAlign w:val="center"/>
            <w:shd w:fill="17365D"/>
          </w:tcPr>
          <w:p>
            <w:pPr>
              <w:spacing w:after="20"/>
            </w:pPr>
            <w:r/>
            <w:r>
              <w:rPr>
                <w:rFonts w:ascii="Aptos" w:hAnsi="Aptos"/>
                <w:b/>
                <w:color w:val="FFFFFF"/>
                <w:sz w:val="16"/>
              </w:rPr>
              <w:t>Responsible interpretation</w:t>
            </w:r>
          </w:p>
        </w:tc>
        <w:tc>
          <w:tcPr>
            <w:tcW w:type="dxa" w:w="3360"/>
            <w:vAlign w:val="center"/>
            <w:shd w:fill="17365D"/>
          </w:tcPr>
          <w:p>
            <w:pPr>
              <w:spacing w:after="20"/>
            </w:pPr>
            <w:r/>
            <w:r>
              <w:rPr>
                <w:rFonts w:ascii="Aptos" w:hAnsi="Aptos"/>
                <w:b/>
                <w:color w:val="FFFFFF"/>
                <w:sz w:val="16"/>
              </w:rPr>
              <w:t>Possible follow-up</w:t>
            </w:r>
          </w:p>
        </w:tc>
      </w:tr>
      <w:tr>
        <w:tc>
          <w:tcPr>
            <w:tcW w:type="dxa" w:w="3360"/>
            <w:vAlign w:val="center"/>
          </w:tcPr>
          <w:p>
            <w:pPr>
              <w:spacing w:after="20"/>
            </w:pPr>
            <w:r/>
            <w:r>
              <w:rPr>
                <w:rFonts w:ascii="Aptos" w:hAnsi="Aptos"/>
                <w:b w:val="0"/>
                <w:sz w:val="15"/>
              </w:rPr>
              <w:t>A service's reported transaction count rises over several periods.</w:t>
            </w:r>
          </w:p>
        </w:tc>
        <w:tc>
          <w:tcPr>
            <w:tcW w:type="dxa" w:w="3360"/>
            <w:vAlign w:val="center"/>
          </w:tcPr>
          <w:p>
            <w:pPr>
              <w:spacing w:after="20"/>
            </w:pPr>
            <w:r/>
            <w:r>
              <w:rPr>
                <w:rFonts w:ascii="Aptos" w:hAnsi="Aptos"/>
                <w:b w:val="0"/>
                <w:sz w:val="15"/>
              </w:rPr>
              <w:t>Reported usage increased in the observed data; the cause is not established.</w:t>
            </w:r>
          </w:p>
        </w:tc>
        <w:tc>
          <w:tcPr>
            <w:tcW w:type="dxa" w:w="3360"/>
            <w:vAlign w:val="center"/>
          </w:tcPr>
          <w:p>
            <w:pPr>
              <w:spacing w:after="20"/>
            </w:pPr>
            <w:r/>
            <w:r>
              <w:rPr>
                <w:rFonts w:ascii="Aptos" w:hAnsi="Aptos"/>
                <w:b w:val="0"/>
                <w:sz w:val="15"/>
              </w:rPr>
              <w:t>Check service scope, population, channel changes, reporting changes, and completion outcomes.</w:t>
            </w:r>
          </w:p>
        </w:tc>
      </w:tr>
      <w:tr>
        <w:tc>
          <w:tcPr>
            <w:tcW w:type="dxa" w:w="3360"/>
            <w:vAlign w:val="center"/>
            <w:shd w:fill="F1F5F9"/>
          </w:tcPr>
          <w:p>
            <w:pPr>
              <w:spacing w:after="20"/>
            </w:pPr>
            <w:r/>
            <w:r>
              <w:rPr>
                <w:rFonts w:ascii="Aptos" w:hAnsi="Aptos"/>
                <w:b w:val="0"/>
                <w:sz w:val="15"/>
              </w:rPr>
              <w:t>A region has a higher reported backlog than another region.</w:t>
            </w:r>
          </w:p>
        </w:tc>
        <w:tc>
          <w:tcPr>
            <w:tcW w:type="dxa" w:w="3360"/>
            <w:vAlign w:val="center"/>
            <w:shd w:fill="F1F5F9"/>
          </w:tcPr>
          <w:p>
            <w:pPr>
              <w:spacing w:after="20"/>
            </w:pPr>
            <w:r/>
            <w:r>
              <w:rPr>
                <w:rFonts w:ascii="Aptos" w:hAnsi="Aptos"/>
                <w:b w:val="0"/>
                <w:sz w:val="15"/>
              </w:rPr>
              <w:t>The reported backlog differs, but population, service volume, eligibility, and data coverage may differ.</w:t>
            </w:r>
          </w:p>
        </w:tc>
        <w:tc>
          <w:tcPr>
            <w:tcW w:type="dxa" w:w="3360"/>
            <w:vAlign w:val="center"/>
            <w:shd w:fill="F1F5F9"/>
          </w:tcPr>
          <w:p>
            <w:pPr>
              <w:spacing w:after="20"/>
            </w:pPr>
            <w:r/>
            <w:r>
              <w:rPr>
                <w:rFonts w:ascii="Aptos" w:hAnsi="Aptos"/>
                <w:b w:val="0"/>
                <w:sz w:val="15"/>
              </w:rPr>
              <w:t>Compare rates or aged backlog if valid denominators and compatible definitions exist.</w:t>
            </w:r>
          </w:p>
        </w:tc>
      </w:tr>
      <w:tr>
        <w:tc>
          <w:tcPr>
            <w:tcW w:type="dxa" w:w="3360"/>
            <w:vAlign w:val="center"/>
          </w:tcPr>
          <w:p>
            <w:pPr>
              <w:spacing w:after="20"/>
            </w:pPr>
            <w:r/>
            <w:r>
              <w:rPr>
                <w:rFonts w:ascii="Aptos" w:hAnsi="Aptos"/>
                <w:b w:val="0"/>
                <w:sz w:val="15"/>
              </w:rPr>
              <w:t>A field has substantial missingness in several periods.</w:t>
            </w:r>
          </w:p>
        </w:tc>
        <w:tc>
          <w:tcPr>
            <w:tcW w:type="dxa" w:w="3360"/>
            <w:vAlign w:val="center"/>
          </w:tcPr>
          <w:p>
            <w:pPr>
              <w:spacing w:after="20"/>
            </w:pPr>
            <w:r/>
            <w:r>
              <w:rPr>
                <w:rFonts w:ascii="Aptos" w:hAnsi="Aptos"/>
                <w:b w:val="0"/>
                <w:sz w:val="15"/>
              </w:rPr>
              <w:t>The field may be unsuitable for an unqualified trend comparison.</w:t>
            </w:r>
          </w:p>
        </w:tc>
        <w:tc>
          <w:tcPr>
            <w:tcW w:type="dxa" w:w="3360"/>
            <w:vAlign w:val="center"/>
          </w:tcPr>
          <w:p>
            <w:pPr>
              <w:spacing w:after="20"/>
            </w:pPr>
            <w:r/>
            <w:r>
              <w:rPr>
                <w:rFonts w:ascii="Aptos" w:hAnsi="Aptos"/>
                <w:b w:val="0"/>
                <w:sz w:val="15"/>
              </w:rPr>
              <w:t>Contact the data owner, limit the period, or report the gap as a monitoring issue.</w:t>
            </w:r>
          </w:p>
        </w:tc>
      </w:tr>
      <w:tr>
        <w:tc>
          <w:tcPr>
            <w:tcW w:type="dxa" w:w="3360"/>
            <w:vAlign w:val="center"/>
            <w:shd w:fill="F1F5F9"/>
          </w:tcPr>
          <w:p>
            <w:pPr>
              <w:spacing w:after="20"/>
            </w:pPr>
            <w:r/>
            <w:r>
              <w:rPr>
                <w:rFonts w:ascii="Aptos" w:hAnsi="Aptos"/>
                <w:b w:val="0"/>
                <w:sz w:val="15"/>
              </w:rPr>
              <w:t>Connectivity and usage appear positively associated across regions.</w:t>
            </w:r>
          </w:p>
        </w:tc>
        <w:tc>
          <w:tcPr>
            <w:tcW w:type="dxa" w:w="3360"/>
            <w:vAlign w:val="center"/>
            <w:shd w:fill="F1F5F9"/>
          </w:tcPr>
          <w:p>
            <w:pPr>
              <w:spacing w:after="20"/>
            </w:pPr>
            <w:r/>
            <w:r>
              <w:rPr>
                <w:rFonts w:ascii="Aptos" w:hAnsi="Aptos"/>
                <w:b w:val="0"/>
                <w:sz w:val="15"/>
              </w:rPr>
              <w:t>The indicators co-vary in the selected observations; causation is not demonstrated.</w:t>
            </w:r>
          </w:p>
        </w:tc>
        <w:tc>
          <w:tcPr>
            <w:tcW w:type="dxa" w:w="3360"/>
            <w:vAlign w:val="center"/>
            <w:shd w:fill="F1F5F9"/>
          </w:tcPr>
          <w:p>
            <w:pPr>
              <w:spacing w:after="20"/>
            </w:pPr>
            <w:r/>
            <w:r>
              <w:rPr>
                <w:rFonts w:ascii="Aptos" w:hAnsi="Aptos"/>
                <w:b w:val="0"/>
                <w:sz w:val="15"/>
              </w:rPr>
              <w:t>Explore alternative variables and use cautious language; seek stronger designs if causal questions matter.</w:t>
            </w:r>
          </w:p>
        </w:tc>
      </w:tr>
    </w:tbl>
    <w:p/>
    <w:p>
      <w:pPr>
        <w:pStyle w:val="Heading2"/>
      </w:pPr>
      <w:r>
        <w:t>5.1 Finding-to-recommendation template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6"/>
              </w:rPr>
              <w:t>Element</w:t>
            </w:r>
          </w:p>
        </w:tc>
        <w:tc>
          <w:tcPr>
            <w:tcW w:type="dxa" w:w="5040"/>
            <w:vAlign w:val="center"/>
            <w:shd w:fill="17365D"/>
          </w:tcPr>
          <w:p>
            <w:pPr>
              <w:spacing w:after="20"/>
            </w:pPr>
            <w:r/>
            <w:r>
              <w:rPr>
                <w:rFonts w:ascii="Aptos" w:hAnsi="Aptos"/>
                <w:b/>
                <w:color w:val="FFFFFF"/>
                <w:sz w:val="16"/>
              </w:rPr>
              <w:t>Required content</w:t>
            </w:r>
          </w:p>
        </w:tc>
      </w:tr>
      <w:tr>
        <w:tc>
          <w:tcPr>
            <w:tcW w:type="dxa" w:w="5040"/>
            <w:vAlign w:val="center"/>
          </w:tcPr>
          <w:p>
            <w:pPr>
              <w:spacing w:after="20"/>
            </w:pPr>
            <w:r/>
            <w:r>
              <w:rPr>
                <w:rFonts w:ascii="Aptos" w:hAnsi="Aptos"/>
                <w:b w:val="0"/>
                <w:sz w:val="15"/>
              </w:rPr>
              <w:t>Finding</w:t>
            </w:r>
          </w:p>
        </w:tc>
        <w:tc>
          <w:tcPr>
            <w:tcW w:type="dxa" w:w="5040"/>
            <w:vAlign w:val="center"/>
          </w:tcPr>
          <w:p>
            <w:pPr>
              <w:spacing w:after="20"/>
            </w:pPr>
            <w:r/>
            <w:r>
              <w:rPr>
                <w:rFonts w:ascii="Aptos" w:hAnsi="Aptos"/>
                <w:b w:val="0"/>
                <w:sz w:val="15"/>
              </w:rPr>
              <w:t>What the data directly show, including unit, period, sample size, and source.</w:t>
            </w:r>
          </w:p>
        </w:tc>
      </w:tr>
      <w:tr>
        <w:tc>
          <w:tcPr>
            <w:tcW w:type="dxa" w:w="5040"/>
            <w:vAlign w:val="center"/>
            <w:shd w:fill="F1F5F9"/>
          </w:tcPr>
          <w:p>
            <w:pPr>
              <w:spacing w:after="20"/>
            </w:pPr>
            <w:r/>
            <w:r>
              <w:rPr>
                <w:rFonts w:ascii="Aptos" w:hAnsi="Aptos"/>
                <w:b w:val="0"/>
                <w:sz w:val="15"/>
              </w:rPr>
              <w:t>Interpretation</w:t>
            </w:r>
          </w:p>
        </w:tc>
        <w:tc>
          <w:tcPr>
            <w:tcW w:type="dxa" w:w="5040"/>
            <w:vAlign w:val="center"/>
            <w:shd w:fill="F1F5F9"/>
          </w:tcPr>
          <w:p>
            <w:pPr>
              <w:spacing w:after="20"/>
            </w:pPr>
            <w:r/>
            <w:r>
              <w:rPr>
                <w:rFonts w:ascii="Aptos" w:hAnsi="Aptos"/>
                <w:b w:val="0"/>
                <w:sz w:val="15"/>
              </w:rPr>
              <w:t>What the pattern may mean, with plausible alternative explanations.</w:t>
            </w:r>
          </w:p>
        </w:tc>
      </w:tr>
      <w:tr>
        <w:tc>
          <w:tcPr>
            <w:tcW w:type="dxa" w:w="5040"/>
            <w:vAlign w:val="center"/>
          </w:tcPr>
          <w:p>
            <w:pPr>
              <w:spacing w:after="20"/>
            </w:pPr>
            <w:r/>
            <w:r>
              <w:rPr>
                <w:rFonts w:ascii="Aptos" w:hAnsi="Aptos"/>
                <w:b w:val="0"/>
                <w:sz w:val="15"/>
              </w:rPr>
              <w:t>Confidence</w:t>
            </w:r>
          </w:p>
        </w:tc>
        <w:tc>
          <w:tcPr>
            <w:tcW w:type="dxa" w:w="5040"/>
            <w:vAlign w:val="center"/>
          </w:tcPr>
          <w:p>
            <w:pPr>
              <w:spacing w:after="20"/>
            </w:pPr>
            <w:r/>
            <w:r>
              <w:rPr>
                <w:rFonts w:ascii="Aptos" w:hAnsi="Aptos"/>
                <w:b w:val="0"/>
                <w:sz w:val="15"/>
              </w:rPr>
              <w:t>High, medium, or low based on data coverage, definition clarity, and robustness—not subjective certainty alone.</w:t>
            </w:r>
          </w:p>
        </w:tc>
      </w:tr>
      <w:tr>
        <w:tc>
          <w:tcPr>
            <w:tcW w:type="dxa" w:w="5040"/>
            <w:vAlign w:val="center"/>
            <w:shd w:fill="F1F5F9"/>
          </w:tcPr>
          <w:p>
            <w:pPr>
              <w:spacing w:after="20"/>
            </w:pPr>
            <w:r/>
            <w:r>
              <w:rPr>
                <w:rFonts w:ascii="Aptos" w:hAnsi="Aptos"/>
                <w:b w:val="0"/>
                <w:sz w:val="15"/>
              </w:rPr>
              <w:t>Recommendation</w:t>
            </w:r>
          </w:p>
        </w:tc>
        <w:tc>
          <w:tcPr>
            <w:tcW w:type="dxa" w:w="5040"/>
            <w:vAlign w:val="center"/>
            <w:shd w:fill="F1F5F9"/>
          </w:tcPr>
          <w:p>
            <w:pPr>
              <w:spacing w:after="20"/>
            </w:pPr>
            <w:r/>
            <w:r>
              <w:rPr>
                <w:rFonts w:ascii="Aptos" w:hAnsi="Aptos"/>
                <w:b w:val="0"/>
                <w:sz w:val="15"/>
              </w:rPr>
              <w:t>A practical action that responds to the evidence and is within the stakeholder's control.</w:t>
            </w:r>
          </w:p>
        </w:tc>
      </w:tr>
      <w:tr>
        <w:tc>
          <w:tcPr>
            <w:tcW w:type="dxa" w:w="5040"/>
            <w:vAlign w:val="center"/>
          </w:tcPr>
          <w:p>
            <w:pPr>
              <w:spacing w:after="20"/>
            </w:pPr>
            <w:r/>
            <w:r>
              <w:rPr>
                <w:rFonts w:ascii="Aptos" w:hAnsi="Aptos"/>
                <w:b w:val="0"/>
                <w:sz w:val="15"/>
              </w:rPr>
              <w:t>Owner / timeframe</w:t>
            </w:r>
          </w:p>
        </w:tc>
        <w:tc>
          <w:tcPr>
            <w:tcW w:type="dxa" w:w="5040"/>
            <w:vAlign w:val="center"/>
          </w:tcPr>
          <w:p>
            <w:pPr>
              <w:spacing w:after="20"/>
            </w:pPr>
            <w:r/>
            <w:r>
              <w:rPr>
                <w:rFonts w:ascii="Aptos" w:hAnsi="Aptos"/>
                <w:b w:val="0"/>
                <w:sz w:val="15"/>
              </w:rPr>
              <w:t>Suggested responsible team and a realistic review period.</w:t>
            </w:r>
          </w:p>
        </w:tc>
      </w:tr>
      <w:tr>
        <w:tc>
          <w:tcPr>
            <w:tcW w:type="dxa" w:w="5040"/>
            <w:vAlign w:val="center"/>
            <w:shd w:fill="F1F5F9"/>
          </w:tcPr>
          <w:p>
            <w:pPr>
              <w:spacing w:after="20"/>
            </w:pPr>
            <w:r/>
            <w:r>
              <w:rPr>
                <w:rFonts w:ascii="Aptos" w:hAnsi="Aptos"/>
                <w:b w:val="0"/>
                <w:sz w:val="15"/>
              </w:rPr>
              <w:t>Success measure</w:t>
            </w:r>
          </w:p>
        </w:tc>
        <w:tc>
          <w:tcPr>
            <w:tcW w:type="dxa" w:w="5040"/>
            <w:vAlign w:val="center"/>
            <w:shd w:fill="F1F5F9"/>
          </w:tcPr>
          <w:p>
            <w:pPr>
              <w:spacing w:after="20"/>
            </w:pPr>
            <w:r/>
            <w:r>
              <w:rPr>
                <w:rFonts w:ascii="Aptos" w:hAnsi="Aptos"/>
                <w:b w:val="0"/>
                <w:sz w:val="15"/>
              </w:rPr>
              <w:t>A measurable follow-up KPI and reporting cadence.</w:t>
            </w:r>
          </w:p>
        </w:tc>
      </w:tr>
    </w:tbl>
    <w:p/>
    <w:p>
      <w:pPr>
        <w:pStyle w:val="Heading1"/>
      </w:pPr>
      <w:r>
        <w:t>6. Strategic Recommendations Framework</w:t>
      </w:r>
    </w:p>
    <w:p>
      <w:r>
        <w:t>The final recommendations must be based on observed results. The following are candidate actions that may be relevant if the stated evidence is found.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20"/>
            </w:pPr>
            <w:r/>
            <w:r>
              <w:rPr>
                <w:rFonts w:ascii="Aptos" w:hAnsi="Aptos"/>
                <w:b/>
                <w:color w:val="FFFFFF"/>
                <w:sz w:val="16"/>
              </w:rPr>
              <w:t>Potential priority</w:t>
            </w:r>
          </w:p>
        </w:tc>
        <w:tc>
          <w:tcPr>
            <w:tcW w:type="dxa" w:w="2520"/>
            <w:vAlign w:val="center"/>
            <w:shd w:fill="17365D"/>
          </w:tcPr>
          <w:p>
            <w:pPr>
              <w:spacing w:after="20"/>
            </w:pPr>
            <w:r/>
            <w:r>
              <w:rPr>
                <w:rFonts w:ascii="Aptos" w:hAnsi="Aptos"/>
                <w:b/>
                <w:color w:val="FFFFFF"/>
                <w:sz w:val="16"/>
              </w:rPr>
              <w:t>Evidence that would support it</w:t>
            </w:r>
          </w:p>
        </w:tc>
        <w:tc>
          <w:tcPr>
            <w:tcW w:type="dxa" w:w="2520"/>
            <w:vAlign w:val="center"/>
            <w:shd w:fill="17365D"/>
          </w:tcPr>
          <w:p>
            <w:pPr>
              <w:spacing w:after="20"/>
            </w:pPr>
            <w:r/>
            <w:r>
              <w:rPr>
                <w:rFonts w:ascii="Aptos" w:hAnsi="Aptos"/>
                <w:b/>
                <w:color w:val="FFFFFF"/>
                <w:sz w:val="16"/>
              </w:rPr>
              <w:t>Possible action</w:t>
            </w:r>
          </w:p>
        </w:tc>
        <w:tc>
          <w:tcPr>
            <w:tcW w:type="dxa" w:w="2520"/>
            <w:vAlign w:val="center"/>
            <w:shd w:fill="17365D"/>
          </w:tcPr>
          <w:p>
            <w:pPr>
              <w:spacing w:after="20"/>
            </w:pPr>
            <w:r/>
            <w:r>
              <w:rPr>
                <w:rFonts w:ascii="Aptos" w:hAnsi="Aptos"/>
                <w:b/>
                <w:color w:val="FFFFFF"/>
                <w:sz w:val="16"/>
              </w:rPr>
              <w:t>Follow-up measure</w:t>
            </w:r>
          </w:p>
        </w:tc>
      </w:tr>
      <w:tr>
        <w:tc>
          <w:tcPr>
            <w:tcW w:type="dxa" w:w="2520"/>
            <w:vAlign w:val="center"/>
          </w:tcPr>
          <w:p>
            <w:pPr>
              <w:spacing w:after="20"/>
            </w:pPr>
            <w:r/>
            <w:r>
              <w:rPr>
                <w:rFonts w:ascii="Aptos" w:hAnsi="Aptos"/>
                <w:b w:val="0"/>
                <w:sz w:val="15"/>
              </w:rPr>
              <w:t>Improve service timeliness</w:t>
            </w:r>
          </w:p>
        </w:tc>
        <w:tc>
          <w:tcPr>
            <w:tcW w:type="dxa" w:w="2520"/>
            <w:vAlign w:val="center"/>
          </w:tcPr>
          <w:p>
            <w:pPr>
              <w:spacing w:after="20"/>
            </w:pPr>
            <w:r/>
            <w:r>
              <w:rPr>
                <w:rFonts w:ascii="Aptos" w:hAnsi="Aptos"/>
                <w:b w:val="0"/>
                <w:sz w:val="15"/>
              </w:rPr>
              <w:t>Reliable processing-time data show repeated delays against a published standard.</w:t>
            </w:r>
          </w:p>
        </w:tc>
        <w:tc>
          <w:tcPr>
            <w:tcW w:type="dxa" w:w="2520"/>
            <w:vAlign w:val="center"/>
          </w:tcPr>
          <w:p>
            <w:pPr>
              <w:spacing w:after="20"/>
            </w:pPr>
            <w:r/>
            <w:r>
              <w:rPr>
                <w:rFonts w:ascii="Aptos" w:hAnsi="Aptos"/>
                <w:b w:val="0"/>
                <w:sz w:val="15"/>
              </w:rPr>
              <w:t>Review process stages and identify avoidable handoffs.</w:t>
            </w:r>
          </w:p>
        </w:tc>
        <w:tc>
          <w:tcPr>
            <w:tcW w:type="dxa" w:w="2520"/>
            <w:vAlign w:val="center"/>
          </w:tcPr>
          <w:p>
            <w:pPr>
              <w:spacing w:after="20"/>
            </w:pPr>
            <w:r/>
            <w:r>
              <w:rPr>
                <w:rFonts w:ascii="Aptos" w:hAnsi="Aptos"/>
                <w:b w:val="0"/>
                <w:sz w:val="15"/>
              </w:rPr>
              <w:t>Share completed within standard; median processing time.</w:t>
            </w:r>
          </w:p>
        </w:tc>
      </w:tr>
      <w:tr>
        <w:tc>
          <w:tcPr>
            <w:tcW w:type="dxa" w:w="2520"/>
            <w:vAlign w:val="center"/>
            <w:shd w:fill="F1F5F9"/>
          </w:tcPr>
          <w:p>
            <w:pPr>
              <w:spacing w:after="20"/>
            </w:pPr>
            <w:r/>
            <w:r>
              <w:rPr>
                <w:rFonts w:ascii="Aptos" w:hAnsi="Aptos"/>
                <w:b w:val="0"/>
                <w:sz w:val="15"/>
              </w:rPr>
              <w:t>Strengthen grievance tracking</w:t>
            </w:r>
          </w:p>
        </w:tc>
        <w:tc>
          <w:tcPr>
            <w:tcW w:type="dxa" w:w="2520"/>
            <w:vAlign w:val="center"/>
            <w:shd w:fill="F1F5F9"/>
          </w:tcPr>
          <w:p>
            <w:pPr>
              <w:spacing w:after="20"/>
            </w:pPr>
            <w:r/>
            <w:r>
              <w:rPr>
                <w:rFonts w:ascii="Aptos" w:hAnsi="Aptos"/>
                <w:b w:val="0"/>
                <w:sz w:val="15"/>
              </w:rPr>
              <w:t>Validated data show unresolved or ageing complaints.</w:t>
            </w:r>
          </w:p>
        </w:tc>
        <w:tc>
          <w:tcPr>
            <w:tcW w:type="dxa" w:w="2520"/>
            <w:vAlign w:val="center"/>
            <w:shd w:fill="F1F5F9"/>
          </w:tcPr>
          <w:p>
            <w:pPr>
              <w:spacing w:after="20"/>
            </w:pPr>
            <w:r/>
            <w:r>
              <w:rPr>
                <w:rFonts w:ascii="Aptos" w:hAnsi="Aptos"/>
                <w:b w:val="0"/>
                <w:sz w:val="15"/>
              </w:rPr>
              <w:t>Clarify escalation paths and publish ageing/backlog definitions.</w:t>
            </w:r>
          </w:p>
        </w:tc>
        <w:tc>
          <w:tcPr>
            <w:tcW w:type="dxa" w:w="2520"/>
            <w:vAlign w:val="center"/>
            <w:shd w:fill="F1F5F9"/>
          </w:tcPr>
          <w:p>
            <w:pPr>
              <w:spacing w:after="20"/>
            </w:pPr>
            <w:r/>
            <w:r>
              <w:rPr>
                <w:rFonts w:ascii="Aptos" w:hAnsi="Aptos"/>
                <w:b w:val="0"/>
                <w:sz w:val="15"/>
              </w:rPr>
              <w:t>Ageing backlog and resolution time, with cohort definitions.</w:t>
            </w:r>
          </w:p>
        </w:tc>
      </w:tr>
      <w:tr>
        <w:tc>
          <w:tcPr>
            <w:tcW w:type="dxa" w:w="2520"/>
            <w:vAlign w:val="center"/>
          </w:tcPr>
          <w:p>
            <w:pPr>
              <w:spacing w:after="20"/>
            </w:pPr>
            <w:r/>
            <w:r>
              <w:rPr>
                <w:rFonts w:ascii="Aptos" w:hAnsi="Aptos"/>
                <w:b w:val="0"/>
                <w:sz w:val="15"/>
              </w:rPr>
              <w:t>Improve digital inclusion</w:t>
            </w:r>
          </w:p>
        </w:tc>
        <w:tc>
          <w:tcPr>
            <w:tcW w:type="dxa" w:w="2520"/>
            <w:vAlign w:val="center"/>
          </w:tcPr>
          <w:p>
            <w:pPr>
              <w:spacing w:after="20"/>
            </w:pPr>
            <w:r/>
            <w:r>
              <w:rPr>
                <w:rFonts w:ascii="Aptos" w:hAnsi="Aptos"/>
                <w:b w:val="0"/>
                <w:sz w:val="15"/>
              </w:rPr>
              <w:t>Comparable access data and service evidence suggest possible barriers.</w:t>
            </w:r>
          </w:p>
        </w:tc>
        <w:tc>
          <w:tcPr>
            <w:tcW w:type="dxa" w:w="2520"/>
            <w:vAlign w:val="center"/>
          </w:tcPr>
          <w:p>
            <w:pPr>
              <w:spacing w:after="20"/>
            </w:pPr>
            <w:r/>
            <w:r>
              <w:rPr>
                <w:rFonts w:ascii="Aptos" w:hAnsi="Aptos"/>
                <w:b w:val="0"/>
                <w:sz w:val="15"/>
              </w:rPr>
              <w:t>Review language, accessibility, assisted-service options, and offline alternatives.</w:t>
            </w:r>
          </w:p>
        </w:tc>
        <w:tc>
          <w:tcPr>
            <w:tcW w:type="dxa" w:w="2520"/>
            <w:vAlign w:val="center"/>
          </w:tcPr>
          <w:p>
            <w:pPr>
              <w:spacing w:after="20"/>
            </w:pPr>
            <w:r/>
            <w:r>
              <w:rPr>
                <w:rFonts w:ascii="Aptos" w:hAnsi="Aptos"/>
                <w:b w:val="0"/>
                <w:sz w:val="15"/>
              </w:rPr>
              <w:t>Availability of accessible options and coverage indicators.</w:t>
            </w:r>
          </w:p>
        </w:tc>
      </w:tr>
      <w:tr>
        <w:tc>
          <w:tcPr>
            <w:tcW w:type="dxa" w:w="2520"/>
            <w:vAlign w:val="center"/>
            <w:shd w:fill="F1F5F9"/>
          </w:tcPr>
          <w:p>
            <w:pPr>
              <w:spacing w:after="20"/>
            </w:pPr>
            <w:r/>
            <w:r>
              <w:rPr>
                <w:rFonts w:ascii="Aptos" w:hAnsi="Aptos"/>
                <w:b w:val="0"/>
                <w:sz w:val="15"/>
              </w:rPr>
              <w:t>Improve data governance</w:t>
            </w:r>
          </w:p>
        </w:tc>
        <w:tc>
          <w:tcPr>
            <w:tcW w:type="dxa" w:w="2520"/>
            <w:vAlign w:val="center"/>
            <w:shd w:fill="F1F5F9"/>
          </w:tcPr>
          <w:p>
            <w:pPr>
              <w:spacing w:after="20"/>
            </w:pPr>
            <w:r/>
            <w:r>
              <w:rPr>
                <w:rFonts w:ascii="Aptos" w:hAnsi="Aptos"/>
                <w:b w:val="0"/>
                <w:sz w:val="15"/>
              </w:rPr>
              <w:t>Repeated missingness, inconsistent definitions, or irregular updates.</w:t>
            </w:r>
          </w:p>
        </w:tc>
        <w:tc>
          <w:tcPr>
            <w:tcW w:type="dxa" w:w="2520"/>
            <w:vAlign w:val="center"/>
            <w:shd w:fill="F1F5F9"/>
          </w:tcPr>
          <w:p>
            <w:pPr>
              <w:spacing w:after="20"/>
            </w:pPr>
            <w:r/>
            <w:r>
              <w:rPr>
                <w:rFonts w:ascii="Aptos" w:hAnsi="Aptos"/>
                <w:b w:val="0"/>
                <w:sz w:val="15"/>
              </w:rPr>
              <w:t>Standardize data definitions, validation rules, and publication schedules.</w:t>
            </w:r>
          </w:p>
        </w:tc>
        <w:tc>
          <w:tcPr>
            <w:tcW w:type="dxa" w:w="2520"/>
            <w:vAlign w:val="center"/>
            <w:shd w:fill="F1F5F9"/>
          </w:tcPr>
          <w:p>
            <w:pPr>
              <w:spacing w:after="20"/>
            </w:pPr>
            <w:r/>
            <w:r>
              <w:rPr>
                <w:rFonts w:ascii="Aptos" w:hAnsi="Aptos"/>
                <w:b w:val="0"/>
                <w:sz w:val="15"/>
              </w:rPr>
              <w:t>Completeness, update timeliness, and schema consistency.</w:t>
            </w:r>
          </w:p>
        </w:tc>
      </w:tr>
      <w:tr>
        <w:tc>
          <w:tcPr>
            <w:tcW w:type="dxa" w:w="2520"/>
            <w:vAlign w:val="center"/>
          </w:tcPr>
          <w:p>
            <w:pPr>
              <w:spacing w:after="20"/>
            </w:pPr>
            <w:r/>
            <w:r>
              <w:rPr>
                <w:rFonts w:ascii="Aptos" w:hAnsi="Aptos"/>
                <w:b w:val="0"/>
                <w:sz w:val="15"/>
              </w:rPr>
              <w:t>Increase transparency</w:t>
            </w:r>
          </w:p>
        </w:tc>
        <w:tc>
          <w:tcPr>
            <w:tcW w:type="dxa" w:w="2520"/>
            <w:vAlign w:val="center"/>
          </w:tcPr>
          <w:p>
            <w:pPr>
              <w:spacing w:after="20"/>
            </w:pPr>
            <w:r/>
            <w:r>
              <w:rPr>
                <w:rFonts w:ascii="Aptos" w:hAnsi="Aptos"/>
                <w:b w:val="0"/>
                <w:sz w:val="15"/>
              </w:rPr>
              <w:t>Users cannot easily find service requirements, fees, timelines, or status information.</w:t>
            </w:r>
          </w:p>
        </w:tc>
        <w:tc>
          <w:tcPr>
            <w:tcW w:type="dxa" w:w="2520"/>
            <w:vAlign w:val="center"/>
          </w:tcPr>
          <w:p>
            <w:pPr>
              <w:spacing w:after="20"/>
            </w:pPr>
            <w:r/>
            <w:r>
              <w:rPr>
                <w:rFonts w:ascii="Aptos" w:hAnsi="Aptos"/>
                <w:b w:val="0"/>
                <w:sz w:val="15"/>
              </w:rPr>
              <w:t>Publish clear service standards and performance summaries.</w:t>
            </w:r>
          </w:p>
        </w:tc>
        <w:tc>
          <w:tcPr>
            <w:tcW w:type="dxa" w:w="2520"/>
            <w:vAlign w:val="center"/>
          </w:tcPr>
          <w:p>
            <w:pPr>
              <w:spacing w:after="20"/>
            </w:pPr>
            <w:r/>
            <w:r>
              <w:rPr>
                <w:rFonts w:ascii="Aptos" w:hAnsi="Aptos"/>
                <w:b w:val="0"/>
                <w:sz w:val="15"/>
              </w:rPr>
              <w:t>Availability and freshness of service information.</w:t>
            </w:r>
          </w:p>
        </w:tc>
      </w:tr>
    </w:tbl>
    <w:p/>
    <w:p>
      <w:pPr>
        <w:pStyle w:val="Heading2"/>
      </w:pPr>
      <w:r>
        <w:t>6.1 Prioritization approach</w:t>
      </w:r>
    </w:p>
    <w:p>
      <w:r>
        <w:t>Score each recommendation on expected public value, strength of evidence, feasibility, urgency, and implementation cost. Use a simple low/medium/high rating with written rationale. Do not assign precise impact estimates unless supported by evidence. Prioritize actions that are high-value, feasible, and supported by reliable findings.</w:t>
      </w:r>
    </w:p>
    <w:p>
      <w:pPr>
        <w:pStyle w:val="Heading1"/>
      </w:pPr>
      <w:r>
        <w:t>7. Limitations and Future Study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6"/>
              </w:rPr>
              <w:t>Limitation</w:t>
            </w:r>
          </w:p>
        </w:tc>
        <w:tc>
          <w:tcPr>
            <w:tcW w:type="dxa" w:w="3360"/>
            <w:vAlign w:val="center"/>
            <w:shd w:fill="17365D"/>
          </w:tcPr>
          <w:p>
            <w:pPr>
              <w:spacing w:after="20"/>
            </w:pPr>
            <w:r/>
            <w:r>
              <w:rPr>
                <w:rFonts w:ascii="Aptos" w:hAnsi="Aptos"/>
                <w:b/>
                <w:color w:val="FFFFFF"/>
                <w:sz w:val="16"/>
              </w:rPr>
              <w:t>Effect on conclusions</w:t>
            </w:r>
          </w:p>
        </w:tc>
        <w:tc>
          <w:tcPr>
            <w:tcW w:type="dxa" w:w="3360"/>
            <w:vAlign w:val="center"/>
            <w:shd w:fill="17365D"/>
          </w:tcPr>
          <w:p>
            <w:pPr>
              <w:spacing w:after="20"/>
            </w:pPr>
            <w:r/>
            <w:r>
              <w:rPr>
                <w:rFonts w:ascii="Aptos" w:hAnsi="Aptos"/>
                <w:b/>
                <w:color w:val="FFFFFF"/>
                <w:sz w:val="16"/>
              </w:rPr>
              <w:t>Mitigation / future work</w:t>
            </w:r>
          </w:p>
        </w:tc>
      </w:tr>
      <w:tr>
        <w:tc>
          <w:tcPr>
            <w:tcW w:type="dxa" w:w="3360"/>
            <w:vAlign w:val="center"/>
          </w:tcPr>
          <w:p>
            <w:pPr>
              <w:spacing w:after="20"/>
            </w:pPr>
            <w:r/>
            <w:r>
              <w:rPr>
                <w:rFonts w:ascii="Aptos" w:hAnsi="Aptos"/>
                <w:b w:val="0"/>
                <w:sz w:val="15"/>
              </w:rPr>
              <w:t>Public data gaps</w:t>
            </w:r>
          </w:p>
        </w:tc>
        <w:tc>
          <w:tcPr>
            <w:tcW w:type="dxa" w:w="3360"/>
            <w:vAlign w:val="center"/>
          </w:tcPr>
          <w:p>
            <w:pPr>
              <w:spacing w:after="20"/>
            </w:pPr>
            <w:r/>
            <w:r>
              <w:rPr>
                <w:rFonts w:ascii="Aptos" w:hAnsi="Aptos"/>
                <w:b w:val="0"/>
                <w:sz w:val="15"/>
              </w:rPr>
              <w:t>Some services, periods, or groups may be under-represented.</w:t>
            </w:r>
          </w:p>
        </w:tc>
        <w:tc>
          <w:tcPr>
            <w:tcW w:type="dxa" w:w="3360"/>
            <w:vAlign w:val="center"/>
          </w:tcPr>
          <w:p>
            <w:pPr>
              <w:spacing w:after="20"/>
            </w:pPr>
            <w:r/>
            <w:r>
              <w:rPr>
                <w:rFonts w:ascii="Aptos" w:hAnsi="Aptos"/>
                <w:b w:val="0"/>
                <w:sz w:val="15"/>
              </w:rPr>
              <w:t>Publish coverage maps; seek additional official sources or data-owner clarification.</w:t>
            </w:r>
          </w:p>
        </w:tc>
      </w:tr>
      <w:tr>
        <w:tc>
          <w:tcPr>
            <w:tcW w:type="dxa" w:w="3360"/>
            <w:vAlign w:val="center"/>
            <w:shd w:fill="F1F5F9"/>
          </w:tcPr>
          <w:p>
            <w:pPr>
              <w:spacing w:after="20"/>
            </w:pPr>
            <w:r/>
            <w:r>
              <w:rPr>
                <w:rFonts w:ascii="Aptos" w:hAnsi="Aptos"/>
                <w:b w:val="0"/>
                <w:sz w:val="15"/>
              </w:rPr>
              <w:t>Inconsistent definitions</w:t>
            </w:r>
          </w:p>
        </w:tc>
        <w:tc>
          <w:tcPr>
            <w:tcW w:type="dxa" w:w="3360"/>
            <w:vAlign w:val="center"/>
            <w:shd w:fill="F1F5F9"/>
          </w:tcPr>
          <w:p>
            <w:pPr>
              <w:spacing w:after="20"/>
            </w:pPr>
            <w:r/>
            <w:r>
              <w:rPr>
                <w:rFonts w:ascii="Aptos" w:hAnsi="Aptos"/>
                <w:b w:val="0"/>
                <w:sz w:val="15"/>
              </w:rPr>
              <w:t>Metrics may not be comparable across locations or years.</w:t>
            </w:r>
          </w:p>
        </w:tc>
        <w:tc>
          <w:tcPr>
            <w:tcW w:type="dxa" w:w="3360"/>
            <w:vAlign w:val="center"/>
            <w:shd w:fill="F1F5F9"/>
          </w:tcPr>
          <w:p>
            <w:pPr>
              <w:spacing w:after="20"/>
            </w:pPr>
            <w:r/>
            <w:r>
              <w:rPr>
                <w:rFonts w:ascii="Aptos" w:hAnsi="Aptos"/>
                <w:b w:val="0"/>
                <w:sz w:val="15"/>
              </w:rPr>
              <w:t>Maintain a data dictionary; compare only compatible measures.</w:t>
            </w:r>
          </w:p>
        </w:tc>
      </w:tr>
      <w:tr>
        <w:tc>
          <w:tcPr>
            <w:tcW w:type="dxa" w:w="3360"/>
            <w:vAlign w:val="center"/>
          </w:tcPr>
          <w:p>
            <w:pPr>
              <w:spacing w:after="20"/>
            </w:pPr>
            <w:r/>
            <w:r>
              <w:rPr>
                <w:rFonts w:ascii="Aptos" w:hAnsi="Aptos"/>
                <w:b w:val="0"/>
                <w:sz w:val="15"/>
              </w:rPr>
              <w:t>Reporting bias</w:t>
            </w:r>
          </w:p>
        </w:tc>
        <w:tc>
          <w:tcPr>
            <w:tcW w:type="dxa" w:w="3360"/>
            <w:vAlign w:val="center"/>
          </w:tcPr>
          <w:p>
            <w:pPr>
              <w:spacing w:after="20"/>
            </w:pPr>
            <w:r/>
            <w:r>
              <w:rPr>
                <w:rFonts w:ascii="Aptos" w:hAnsi="Aptos"/>
                <w:b w:val="0"/>
                <w:sz w:val="15"/>
              </w:rPr>
              <w:t>Recorded transactions may omit failed attempts or people unable to access digital channels.</w:t>
            </w:r>
          </w:p>
        </w:tc>
        <w:tc>
          <w:tcPr>
            <w:tcW w:type="dxa" w:w="3360"/>
            <w:vAlign w:val="center"/>
          </w:tcPr>
          <w:p>
            <w:pPr>
              <w:spacing w:after="20"/>
            </w:pPr>
            <w:r/>
            <w:r>
              <w:rPr>
                <w:rFonts w:ascii="Aptos" w:hAnsi="Aptos"/>
                <w:b w:val="0"/>
                <w:sz w:val="15"/>
              </w:rPr>
              <w:t>Seek user research, assisted-service data, and service completion metrics where ethical and available.</w:t>
            </w:r>
          </w:p>
        </w:tc>
      </w:tr>
      <w:tr>
        <w:tc>
          <w:tcPr>
            <w:tcW w:type="dxa" w:w="3360"/>
            <w:vAlign w:val="center"/>
            <w:shd w:fill="F1F5F9"/>
          </w:tcPr>
          <w:p>
            <w:pPr>
              <w:spacing w:after="20"/>
            </w:pPr>
            <w:r/>
            <w:r>
              <w:rPr>
                <w:rFonts w:ascii="Aptos" w:hAnsi="Aptos"/>
                <w:b w:val="0"/>
                <w:sz w:val="15"/>
              </w:rPr>
              <w:t>Aggregate-only data</w:t>
            </w:r>
          </w:p>
        </w:tc>
        <w:tc>
          <w:tcPr>
            <w:tcW w:type="dxa" w:w="3360"/>
            <w:vAlign w:val="center"/>
            <w:shd w:fill="F1F5F9"/>
          </w:tcPr>
          <w:p>
            <w:pPr>
              <w:spacing w:after="20"/>
            </w:pPr>
            <w:r/>
            <w:r>
              <w:rPr>
                <w:rFonts w:ascii="Aptos" w:hAnsi="Aptos"/>
                <w:b w:val="0"/>
                <w:sz w:val="15"/>
              </w:rPr>
              <w:t>Cannot explain individual experiences or variation within groups.</w:t>
            </w:r>
          </w:p>
        </w:tc>
        <w:tc>
          <w:tcPr>
            <w:tcW w:type="dxa" w:w="3360"/>
            <w:vAlign w:val="center"/>
            <w:shd w:fill="F1F5F9"/>
          </w:tcPr>
          <w:p>
            <w:pPr>
              <w:spacing w:after="20"/>
            </w:pPr>
            <w:r/>
            <w:r>
              <w:rPr>
                <w:rFonts w:ascii="Aptos" w:hAnsi="Aptos"/>
                <w:b w:val="0"/>
                <w:sz w:val="15"/>
              </w:rPr>
              <w:t>Use carefully designed qualitative research with appropriate safeguards if approved.</w:t>
            </w:r>
          </w:p>
        </w:tc>
      </w:tr>
      <w:tr>
        <w:tc>
          <w:tcPr>
            <w:tcW w:type="dxa" w:w="3360"/>
            <w:vAlign w:val="center"/>
          </w:tcPr>
          <w:p>
            <w:pPr>
              <w:spacing w:after="20"/>
            </w:pPr>
            <w:r/>
            <w:r>
              <w:rPr>
                <w:rFonts w:ascii="Aptos" w:hAnsi="Aptos"/>
                <w:b w:val="0"/>
                <w:sz w:val="15"/>
              </w:rPr>
              <w:t>Confounding factors</w:t>
            </w:r>
          </w:p>
        </w:tc>
        <w:tc>
          <w:tcPr>
            <w:tcW w:type="dxa" w:w="3360"/>
            <w:vAlign w:val="center"/>
          </w:tcPr>
          <w:p>
            <w:pPr>
              <w:spacing w:after="20"/>
            </w:pPr>
            <w:r/>
            <w:r>
              <w:rPr>
                <w:rFonts w:ascii="Aptos" w:hAnsi="Aptos"/>
                <w:b w:val="0"/>
                <w:sz w:val="15"/>
              </w:rPr>
              <w:t>Associations may reflect population, eligibility, infrastructure, or policy changes.</w:t>
            </w:r>
          </w:p>
        </w:tc>
        <w:tc>
          <w:tcPr>
            <w:tcW w:type="dxa" w:w="3360"/>
            <w:vAlign w:val="center"/>
          </w:tcPr>
          <w:p>
            <w:pPr>
              <w:spacing w:after="20"/>
            </w:pPr>
            <w:r/>
            <w:r>
              <w:rPr>
                <w:rFonts w:ascii="Aptos" w:hAnsi="Aptos"/>
                <w:b w:val="0"/>
                <w:sz w:val="15"/>
              </w:rPr>
              <w:t>Discuss alternative explanations and avoid causal language.</w:t>
            </w:r>
          </w:p>
        </w:tc>
      </w:tr>
      <w:tr>
        <w:tc>
          <w:tcPr>
            <w:tcW w:type="dxa" w:w="3360"/>
            <w:vAlign w:val="center"/>
            <w:shd w:fill="F1F5F9"/>
          </w:tcPr>
          <w:p>
            <w:pPr>
              <w:spacing w:after="20"/>
            </w:pPr>
            <w:r/>
            <w:r>
              <w:rPr>
                <w:rFonts w:ascii="Aptos" w:hAnsi="Aptos"/>
                <w:b w:val="0"/>
                <w:sz w:val="15"/>
              </w:rPr>
              <w:t>Short time series</w:t>
            </w:r>
          </w:p>
        </w:tc>
        <w:tc>
          <w:tcPr>
            <w:tcW w:type="dxa" w:w="3360"/>
            <w:vAlign w:val="center"/>
            <w:shd w:fill="F1F5F9"/>
          </w:tcPr>
          <w:p>
            <w:pPr>
              <w:spacing w:after="20"/>
            </w:pPr>
            <w:r/>
            <w:r>
              <w:rPr>
                <w:rFonts w:ascii="Aptos" w:hAnsi="Aptos"/>
                <w:b w:val="0"/>
                <w:sz w:val="15"/>
              </w:rPr>
              <w:t>Trends and seasonality may be unstable.</w:t>
            </w:r>
          </w:p>
        </w:tc>
        <w:tc>
          <w:tcPr>
            <w:tcW w:type="dxa" w:w="3360"/>
            <w:vAlign w:val="center"/>
            <w:shd w:fill="F1F5F9"/>
          </w:tcPr>
          <w:p>
            <w:pPr>
              <w:spacing w:after="20"/>
            </w:pPr>
            <w:r/>
            <w:r>
              <w:rPr>
                <w:rFonts w:ascii="Aptos" w:hAnsi="Aptos"/>
                <w:b w:val="0"/>
                <w:sz w:val="15"/>
              </w:rPr>
              <w:t>Collect longer consistent series and report uncertainty.</w:t>
            </w:r>
          </w:p>
        </w:tc>
      </w:tr>
      <w:tr>
        <w:tc>
          <w:tcPr>
            <w:tcW w:type="dxa" w:w="3360"/>
            <w:vAlign w:val="center"/>
          </w:tcPr>
          <w:p>
            <w:pPr>
              <w:spacing w:after="20"/>
            </w:pPr>
            <w:r/>
            <w:r>
              <w:rPr>
                <w:rFonts w:ascii="Aptos" w:hAnsi="Aptos"/>
                <w:b w:val="0"/>
                <w:sz w:val="15"/>
              </w:rPr>
              <w:t>Outliers and revisions</w:t>
            </w:r>
          </w:p>
        </w:tc>
        <w:tc>
          <w:tcPr>
            <w:tcW w:type="dxa" w:w="3360"/>
            <w:vAlign w:val="center"/>
          </w:tcPr>
          <w:p>
            <w:pPr>
              <w:spacing w:after="20"/>
            </w:pPr>
            <w:r/>
            <w:r>
              <w:rPr>
                <w:rFonts w:ascii="Aptos" w:hAnsi="Aptos"/>
                <w:b w:val="0"/>
                <w:sz w:val="15"/>
              </w:rPr>
              <w:t>Extreme or revised values may distort summaries.</w:t>
            </w:r>
          </w:p>
        </w:tc>
        <w:tc>
          <w:tcPr>
            <w:tcW w:type="dxa" w:w="3360"/>
            <w:vAlign w:val="center"/>
          </w:tcPr>
          <w:p>
            <w:pPr>
              <w:spacing w:after="20"/>
            </w:pPr>
            <w:r/>
            <w:r>
              <w:rPr>
                <w:rFonts w:ascii="Aptos" w:hAnsi="Aptos"/>
                <w:b w:val="0"/>
                <w:sz w:val="15"/>
              </w:rPr>
              <w:t>Verify against source notes and conduct sensitivity checks.</w:t>
            </w:r>
          </w:p>
        </w:tc>
      </w:tr>
      <w:tr>
        <w:tc>
          <w:tcPr>
            <w:tcW w:type="dxa" w:w="3360"/>
            <w:vAlign w:val="center"/>
            <w:shd w:fill="F1F5F9"/>
          </w:tcPr>
          <w:p>
            <w:pPr>
              <w:spacing w:after="20"/>
            </w:pPr>
            <w:r/>
            <w:r>
              <w:rPr>
                <w:rFonts w:ascii="Aptos" w:hAnsi="Aptos"/>
                <w:b w:val="0"/>
                <w:sz w:val="15"/>
              </w:rPr>
              <w:t>No causal design</w:t>
            </w:r>
          </w:p>
        </w:tc>
        <w:tc>
          <w:tcPr>
            <w:tcW w:type="dxa" w:w="3360"/>
            <w:vAlign w:val="center"/>
            <w:shd w:fill="F1F5F9"/>
          </w:tcPr>
          <w:p>
            <w:pPr>
              <w:spacing w:after="20"/>
            </w:pPr>
            <w:r/>
            <w:r>
              <w:rPr>
                <w:rFonts w:ascii="Aptos" w:hAnsi="Aptos"/>
                <w:b w:val="0"/>
                <w:sz w:val="15"/>
              </w:rPr>
              <w:t>Observed patterns do not establish that a service change caused an outcome.</w:t>
            </w:r>
          </w:p>
        </w:tc>
        <w:tc>
          <w:tcPr>
            <w:tcW w:type="dxa" w:w="3360"/>
            <w:vAlign w:val="center"/>
            <w:shd w:fill="F1F5F9"/>
          </w:tcPr>
          <w:p>
            <w:pPr>
              <w:spacing w:after="20"/>
            </w:pPr>
            <w:r/>
            <w:r>
              <w:rPr>
                <w:rFonts w:ascii="Aptos" w:hAnsi="Aptos"/>
                <w:b w:val="0"/>
                <w:sz w:val="15"/>
              </w:rPr>
              <w:t>Use quasi-experimental or other suitable designs only with adequate data and expertise.</w:t>
            </w:r>
          </w:p>
        </w:tc>
      </w:tr>
    </w:tbl>
    <w:p/>
    <w:p>
      <w:pPr>
        <w:pStyle w:val="Heading2"/>
      </w:pPr>
      <w:r>
        <w:t>7.1 Future study opportunities</w:t>
      </w:r>
    </w:p>
    <w:p>
      <w:pPr>
        <w:pStyle w:val="ListBullet"/>
        <w:spacing w:after="40"/>
      </w:pPr>
      <w:r>
        <w:t>Collect longer, consistent time series for key service indicators.</w:t>
      </w:r>
    </w:p>
    <w:p>
      <w:pPr>
        <w:pStyle w:val="ListBullet"/>
        <w:spacing w:after="40"/>
      </w:pPr>
      <w:r>
        <w:t>Combine operational metrics with ethically gathered user feedback or usability testing.</w:t>
      </w:r>
    </w:p>
    <w:p>
      <w:pPr>
        <w:pStyle w:val="ListBullet"/>
        <w:spacing w:after="40"/>
      </w:pPr>
      <w:r>
        <w:t>Improve public reporting of definitions, denominators, processing times, and failed transactions.</w:t>
      </w:r>
    </w:p>
    <w:p>
      <w:pPr>
        <w:pStyle w:val="ListBullet"/>
        <w:spacing w:after="40"/>
      </w:pPr>
      <w:r>
        <w:t>Evaluate specific service changes using a suitable comparison design where data and conditions permit.</w:t>
      </w:r>
    </w:p>
    <w:p>
      <w:pPr>
        <w:pStyle w:val="ListBullet"/>
        <w:spacing w:after="40"/>
      </w:pPr>
      <w:r>
        <w:t>Test accessibility, language support, and assisted-service availability in a structured way.</w:t>
      </w:r>
    </w:p>
    <w:p>
      <w:pPr>
        <w:pStyle w:val="Heading1"/>
      </w:pPr>
      <w:r>
        <w:t>8. Stakeholder Presentation / Briefing Plan</w:t>
      </w:r>
    </w:p>
    <w:p>
      <w:r>
        <w:t>Recommended format: a 10–12 minute briefing followed by 5 minutes for questions. The audience should leave understanding the question, the strength of the evidence, the most important findings, and the actions being requested.</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17365D"/>
          </w:tcPr>
          <w:p>
            <w:pPr>
              <w:spacing w:after="20"/>
            </w:pPr>
            <w:r/>
            <w:r>
              <w:rPr>
                <w:rFonts w:ascii="Aptos" w:hAnsi="Aptos"/>
                <w:b/>
                <w:color w:val="FFFFFF"/>
                <w:sz w:val="16"/>
              </w:rPr>
              <w:t>Slide</w:t>
            </w:r>
          </w:p>
        </w:tc>
        <w:tc>
          <w:tcPr>
            <w:tcW w:type="dxa" w:w="3360"/>
            <w:vAlign w:val="center"/>
            <w:shd w:fill="17365D"/>
          </w:tcPr>
          <w:p>
            <w:pPr>
              <w:spacing w:after="20"/>
            </w:pPr>
            <w:r/>
            <w:r>
              <w:rPr>
                <w:rFonts w:ascii="Aptos" w:hAnsi="Aptos"/>
                <w:b/>
                <w:color w:val="FFFFFF"/>
                <w:sz w:val="16"/>
              </w:rPr>
              <w:t>Content</w:t>
            </w:r>
          </w:p>
        </w:tc>
        <w:tc>
          <w:tcPr>
            <w:tcW w:type="dxa" w:w="3360"/>
            <w:vAlign w:val="center"/>
            <w:shd w:fill="17365D"/>
          </w:tcPr>
          <w:p>
            <w:pPr>
              <w:spacing w:after="20"/>
            </w:pPr>
            <w:r/>
            <w:r>
              <w:rPr>
                <w:rFonts w:ascii="Aptos" w:hAnsi="Aptos"/>
                <w:b/>
                <w:color w:val="FFFFFF"/>
                <w:sz w:val="16"/>
              </w:rPr>
              <w:t>Suggested visual / speaking point</w:t>
            </w:r>
          </w:p>
        </w:tc>
      </w:tr>
      <w:tr>
        <w:tc>
          <w:tcPr>
            <w:tcW w:type="dxa" w:w="3360"/>
            <w:vAlign w:val="center"/>
          </w:tcPr>
          <w:p>
            <w:pPr>
              <w:spacing w:after="20"/>
            </w:pPr>
            <w:r/>
            <w:r>
              <w:rPr>
                <w:rFonts w:ascii="Aptos" w:hAnsi="Aptos"/>
                <w:b w:val="0"/>
                <w:sz w:val="15"/>
              </w:rPr>
              <w:t>1. Title and purpose</w:t>
            </w:r>
          </w:p>
        </w:tc>
        <w:tc>
          <w:tcPr>
            <w:tcW w:type="dxa" w:w="3360"/>
            <w:vAlign w:val="center"/>
          </w:tcPr>
          <w:p>
            <w:pPr>
              <w:spacing w:after="20"/>
            </w:pPr>
            <w:r/>
            <w:r>
              <w:rPr>
                <w:rFonts w:ascii="Aptos" w:hAnsi="Aptos"/>
                <w:b w:val="0"/>
                <w:sz w:val="15"/>
              </w:rPr>
              <w:t>Project title, scope, and decision question.</w:t>
            </w:r>
          </w:p>
        </w:tc>
        <w:tc>
          <w:tcPr>
            <w:tcW w:type="dxa" w:w="3360"/>
            <w:vAlign w:val="center"/>
          </w:tcPr>
          <w:p>
            <w:pPr>
              <w:spacing w:after="20"/>
            </w:pPr>
            <w:r/>
            <w:r>
              <w:rPr>
                <w:rFonts w:ascii="Aptos" w:hAnsi="Aptos"/>
                <w:b w:val="0"/>
                <w:sz w:val="15"/>
              </w:rPr>
              <w:t>One-sentence explanation of the service-analysis goal.</w:t>
            </w:r>
          </w:p>
        </w:tc>
      </w:tr>
      <w:tr>
        <w:tc>
          <w:tcPr>
            <w:tcW w:type="dxa" w:w="3360"/>
            <w:vAlign w:val="center"/>
            <w:shd w:fill="F1F5F9"/>
          </w:tcPr>
          <w:p>
            <w:pPr>
              <w:spacing w:after="20"/>
            </w:pPr>
            <w:r/>
            <w:r>
              <w:rPr>
                <w:rFonts w:ascii="Aptos" w:hAnsi="Aptos"/>
                <w:b w:val="0"/>
                <w:sz w:val="15"/>
              </w:rPr>
              <w:t>2. Why it matters</w:t>
            </w:r>
          </w:p>
        </w:tc>
        <w:tc>
          <w:tcPr>
            <w:tcW w:type="dxa" w:w="3360"/>
            <w:vAlign w:val="center"/>
            <w:shd w:fill="F1F5F9"/>
          </w:tcPr>
          <w:p>
            <w:pPr>
              <w:spacing w:after="20"/>
            </w:pPr>
            <w:r/>
            <w:r>
              <w:rPr>
                <w:rFonts w:ascii="Aptos" w:hAnsi="Aptos"/>
                <w:b w:val="0"/>
                <w:sz w:val="15"/>
              </w:rPr>
              <w:t>Public service challenge and intended benefit.</w:t>
            </w:r>
          </w:p>
        </w:tc>
        <w:tc>
          <w:tcPr>
            <w:tcW w:type="dxa" w:w="3360"/>
            <w:vAlign w:val="center"/>
            <w:shd w:fill="F1F5F9"/>
          </w:tcPr>
          <w:p>
            <w:pPr>
              <w:spacing w:after="20"/>
            </w:pPr>
            <w:r/>
            <w:r>
              <w:rPr>
                <w:rFonts w:ascii="Aptos" w:hAnsi="Aptos"/>
                <w:b w:val="0"/>
                <w:sz w:val="15"/>
              </w:rPr>
              <w:t>Simple process/context diagram or concise problem statement.</w:t>
            </w:r>
          </w:p>
        </w:tc>
      </w:tr>
      <w:tr>
        <w:tc>
          <w:tcPr>
            <w:tcW w:type="dxa" w:w="3360"/>
            <w:vAlign w:val="center"/>
          </w:tcPr>
          <w:p>
            <w:pPr>
              <w:spacing w:after="20"/>
            </w:pPr>
            <w:r/>
            <w:r>
              <w:rPr>
                <w:rFonts w:ascii="Aptos" w:hAnsi="Aptos"/>
                <w:b w:val="0"/>
                <w:sz w:val="15"/>
              </w:rPr>
              <w:t>3. Data and methods</w:t>
            </w:r>
          </w:p>
        </w:tc>
        <w:tc>
          <w:tcPr>
            <w:tcW w:type="dxa" w:w="3360"/>
            <w:vAlign w:val="center"/>
          </w:tcPr>
          <w:p>
            <w:pPr>
              <w:spacing w:after="20"/>
            </w:pPr>
            <w:r/>
            <w:r>
              <w:rPr>
                <w:rFonts w:ascii="Aptos" w:hAnsi="Aptos"/>
                <w:b w:val="0"/>
                <w:sz w:val="15"/>
              </w:rPr>
              <w:t>Sources, periods, coverage, preprocessing, and tools.</w:t>
            </w:r>
          </w:p>
        </w:tc>
        <w:tc>
          <w:tcPr>
            <w:tcW w:type="dxa" w:w="3360"/>
            <w:vAlign w:val="center"/>
          </w:tcPr>
          <w:p>
            <w:pPr>
              <w:spacing w:after="20"/>
            </w:pPr>
            <w:r/>
            <w:r>
              <w:rPr>
                <w:rFonts w:ascii="Aptos" w:hAnsi="Aptos"/>
                <w:b w:val="0"/>
                <w:sz w:val="15"/>
              </w:rPr>
              <w:t>Source inventory summary and workflow graphic.</w:t>
            </w:r>
          </w:p>
        </w:tc>
      </w:tr>
      <w:tr>
        <w:tc>
          <w:tcPr>
            <w:tcW w:type="dxa" w:w="3360"/>
            <w:vAlign w:val="center"/>
            <w:shd w:fill="F1F5F9"/>
          </w:tcPr>
          <w:p>
            <w:pPr>
              <w:spacing w:after="20"/>
            </w:pPr>
            <w:r/>
            <w:r>
              <w:rPr>
                <w:rFonts w:ascii="Aptos" w:hAnsi="Aptos"/>
                <w:b w:val="0"/>
                <w:sz w:val="15"/>
              </w:rPr>
              <w:t>4. Data quality</w:t>
            </w:r>
          </w:p>
        </w:tc>
        <w:tc>
          <w:tcPr>
            <w:tcW w:type="dxa" w:w="3360"/>
            <w:vAlign w:val="center"/>
            <w:shd w:fill="F1F5F9"/>
          </w:tcPr>
          <w:p>
            <w:pPr>
              <w:spacing w:after="20"/>
            </w:pPr>
            <w:r/>
            <w:r>
              <w:rPr>
                <w:rFonts w:ascii="Aptos" w:hAnsi="Aptos"/>
                <w:b w:val="0"/>
                <w:sz w:val="15"/>
              </w:rPr>
              <w:t>Missingness, definitions, and limitations.</w:t>
            </w:r>
          </w:p>
        </w:tc>
        <w:tc>
          <w:tcPr>
            <w:tcW w:type="dxa" w:w="3360"/>
            <w:vAlign w:val="center"/>
            <w:shd w:fill="F1F5F9"/>
          </w:tcPr>
          <w:p>
            <w:pPr>
              <w:spacing w:after="20"/>
            </w:pPr>
            <w:r/>
            <w:r>
              <w:rPr>
                <w:rFonts w:ascii="Aptos" w:hAnsi="Aptos"/>
                <w:b w:val="0"/>
                <w:sz w:val="15"/>
              </w:rPr>
              <w:t>Quality summary table or missingness chart.</w:t>
            </w:r>
          </w:p>
        </w:tc>
      </w:tr>
      <w:tr>
        <w:tc>
          <w:tcPr>
            <w:tcW w:type="dxa" w:w="3360"/>
            <w:vAlign w:val="center"/>
          </w:tcPr>
          <w:p>
            <w:pPr>
              <w:spacing w:after="20"/>
            </w:pPr>
            <w:r/>
            <w:r>
              <w:rPr>
                <w:rFonts w:ascii="Aptos" w:hAnsi="Aptos"/>
                <w:b w:val="0"/>
                <w:sz w:val="15"/>
              </w:rPr>
              <w:t>5. Main finding 1</w:t>
            </w:r>
          </w:p>
        </w:tc>
        <w:tc>
          <w:tcPr>
            <w:tcW w:type="dxa" w:w="3360"/>
            <w:vAlign w:val="center"/>
          </w:tcPr>
          <w:p>
            <w:pPr>
              <w:spacing w:after="20"/>
            </w:pPr>
            <w:r/>
            <w:r>
              <w:rPr>
                <w:rFonts w:ascii="Aptos" w:hAnsi="Aptos"/>
                <w:b w:val="0"/>
                <w:sz w:val="15"/>
              </w:rPr>
              <w:t>Strongest validated trend or KPI result.</w:t>
            </w:r>
          </w:p>
        </w:tc>
        <w:tc>
          <w:tcPr>
            <w:tcW w:type="dxa" w:w="3360"/>
            <w:vAlign w:val="center"/>
          </w:tcPr>
          <w:p>
            <w:pPr>
              <w:spacing w:after="20"/>
            </w:pPr>
            <w:r/>
            <w:r>
              <w:rPr>
                <w:rFonts w:ascii="Aptos" w:hAnsi="Aptos"/>
                <w:b w:val="0"/>
                <w:sz w:val="15"/>
              </w:rPr>
              <w:t>Line chart with source, units, and period.</w:t>
            </w:r>
          </w:p>
        </w:tc>
      </w:tr>
      <w:tr>
        <w:tc>
          <w:tcPr>
            <w:tcW w:type="dxa" w:w="3360"/>
            <w:vAlign w:val="center"/>
            <w:shd w:fill="F1F5F9"/>
          </w:tcPr>
          <w:p>
            <w:pPr>
              <w:spacing w:after="20"/>
            </w:pPr>
            <w:r/>
            <w:r>
              <w:rPr>
                <w:rFonts w:ascii="Aptos" w:hAnsi="Aptos"/>
                <w:b w:val="0"/>
                <w:sz w:val="15"/>
              </w:rPr>
              <w:t>6. Main finding 2</w:t>
            </w:r>
          </w:p>
        </w:tc>
        <w:tc>
          <w:tcPr>
            <w:tcW w:type="dxa" w:w="3360"/>
            <w:vAlign w:val="center"/>
            <w:shd w:fill="F1F5F9"/>
          </w:tcPr>
          <w:p>
            <w:pPr>
              <w:spacing w:after="20"/>
            </w:pPr>
            <w:r/>
            <w:r>
              <w:rPr>
                <w:rFonts w:ascii="Aptos" w:hAnsi="Aptos"/>
                <w:b w:val="0"/>
                <w:sz w:val="15"/>
              </w:rPr>
              <w:t>Most useful comparable group result.</w:t>
            </w:r>
          </w:p>
        </w:tc>
        <w:tc>
          <w:tcPr>
            <w:tcW w:type="dxa" w:w="3360"/>
            <w:vAlign w:val="center"/>
            <w:shd w:fill="F1F5F9"/>
          </w:tcPr>
          <w:p>
            <w:pPr>
              <w:spacing w:after="20"/>
            </w:pPr>
            <w:r/>
            <w:r>
              <w:rPr>
                <w:rFonts w:ascii="Aptos" w:hAnsi="Aptos"/>
                <w:b w:val="0"/>
                <w:sz w:val="15"/>
              </w:rPr>
              <w:t>Bar chart or summary table.</w:t>
            </w:r>
          </w:p>
        </w:tc>
      </w:tr>
      <w:tr>
        <w:tc>
          <w:tcPr>
            <w:tcW w:type="dxa" w:w="3360"/>
            <w:vAlign w:val="center"/>
          </w:tcPr>
          <w:p>
            <w:pPr>
              <w:spacing w:after="20"/>
            </w:pPr>
            <w:r/>
            <w:r>
              <w:rPr>
                <w:rFonts w:ascii="Aptos" w:hAnsi="Aptos"/>
                <w:b w:val="0"/>
                <w:sz w:val="15"/>
              </w:rPr>
              <w:t>7. Interpretation</w:t>
            </w:r>
          </w:p>
        </w:tc>
        <w:tc>
          <w:tcPr>
            <w:tcW w:type="dxa" w:w="3360"/>
            <w:vAlign w:val="center"/>
          </w:tcPr>
          <w:p>
            <w:pPr>
              <w:spacing w:after="20"/>
            </w:pPr>
            <w:r/>
            <w:r>
              <w:rPr>
                <w:rFonts w:ascii="Aptos" w:hAnsi="Aptos"/>
                <w:b w:val="0"/>
                <w:sz w:val="15"/>
              </w:rPr>
              <w:t>Meaning, alternative explanations, and confidence.</w:t>
            </w:r>
          </w:p>
        </w:tc>
        <w:tc>
          <w:tcPr>
            <w:tcW w:type="dxa" w:w="3360"/>
            <w:vAlign w:val="center"/>
          </w:tcPr>
          <w:p>
            <w:pPr>
              <w:spacing w:after="20"/>
            </w:pPr>
            <w:r/>
            <w:r>
              <w:rPr>
                <w:rFonts w:ascii="Aptos" w:hAnsi="Aptos"/>
                <w:b w:val="0"/>
                <w:sz w:val="15"/>
              </w:rPr>
              <w:t>Finding-to-interpretation bullets.</w:t>
            </w:r>
          </w:p>
        </w:tc>
      </w:tr>
      <w:tr>
        <w:tc>
          <w:tcPr>
            <w:tcW w:type="dxa" w:w="3360"/>
            <w:vAlign w:val="center"/>
            <w:shd w:fill="F1F5F9"/>
          </w:tcPr>
          <w:p>
            <w:pPr>
              <w:spacing w:after="20"/>
            </w:pPr>
            <w:r/>
            <w:r>
              <w:rPr>
                <w:rFonts w:ascii="Aptos" w:hAnsi="Aptos"/>
                <w:b w:val="0"/>
                <w:sz w:val="15"/>
              </w:rPr>
              <w:t>8. Recommendations</w:t>
            </w:r>
          </w:p>
        </w:tc>
        <w:tc>
          <w:tcPr>
            <w:tcW w:type="dxa" w:w="3360"/>
            <w:vAlign w:val="center"/>
            <w:shd w:fill="F1F5F9"/>
          </w:tcPr>
          <w:p>
            <w:pPr>
              <w:spacing w:after="20"/>
            </w:pPr>
            <w:r/>
            <w:r>
              <w:rPr>
                <w:rFonts w:ascii="Aptos" w:hAnsi="Aptos"/>
                <w:b w:val="0"/>
                <w:sz w:val="15"/>
              </w:rPr>
              <w:t>Two or three prioritized actions.</w:t>
            </w:r>
          </w:p>
        </w:tc>
        <w:tc>
          <w:tcPr>
            <w:tcW w:type="dxa" w:w="3360"/>
            <w:vAlign w:val="center"/>
            <w:shd w:fill="F1F5F9"/>
          </w:tcPr>
          <w:p>
            <w:pPr>
              <w:spacing w:after="20"/>
            </w:pPr>
            <w:r/>
            <w:r>
              <w:rPr>
                <w:rFonts w:ascii="Aptos" w:hAnsi="Aptos"/>
                <w:b w:val="0"/>
                <w:sz w:val="15"/>
              </w:rPr>
              <w:t>Recommendation matrix with owners and measures.</w:t>
            </w:r>
          </w:p>
        </w:tc>
      </w:tr>
      <w:tr>
        <w:tc>
          <w:tcPr>
            <w:tcW w:type="dxa" w:w="3360"/>
            <w:vAlign w:val="center"/>
          </w:tcPr>
          <w:p>
            <w:pPr>
              <w:spacing w:after="20"/>
            </w:pPr>
            <w:r/>
            <w:r>
              <w:rPr>
                <w:rFonts w:ascii="Aptos" w:hAnsi="Aptos"/>
                <w:b w:val="0"/>
                <w:sz w:val="15"/>
              </w:rPr>
              <w:t>9. Limitations and next steps</w:t>
            </w:r>
          </w:p>
        </w:tc>
        <w:tc>
          <w:tcPr>
            <w:tcW w:type="dxa" w:w="3360"/>
            <w:vAlign w:val="center"/>
          </w:tcPr>
          <w:p>
            <w:pPr>
              <w:spacing w:after="20"/>
            </w:pPr>
            <w:r/>
            <w:r>
              <w:rPr>
                <w:rFonts w:ascii="Aptos" w:hAnsi="Aptos"/>
                <w:b w:val="0"/>
                <w:sz w:val="15"/>
              </w:rPr>
              <w:t>What cannot yet be concluded and what evidence is needed.</w:t>
            </w:r>
          </w:p>
        </w:tc>
        <w:tc>
          <w:tcPr>
            <w:tcW w:type="dxa" w:w="3360"/>
            <w:vAlign w:val="center"/>
          </w:tcPr>
          <w:p>
            <w:pPr>
              <w:spacing w:after="20"/>
            </w:pPr>
            <w:r/>
            <w:r>
              <w:rPr>
                <w:rFonts w:ascii="Aptos" w:hAnsi="Aptos"/>
                <w:b w:val="0"/>
                <w:sz w:val="15"/>
              </w:rPr>
              <w:t>Risk/next-step list.</w:t>
            </w:r>
          </w:p>
        </w:tc>
      </w:tr>
      <w:tr>
        <w:tc>
          <w:tcPr>
            <w:tcW w:type="dxa" w:w="3360"/>
            <w:vAlign w:val="center"/>
            <w:shd w:fill="F1F5F9"/>
          </w:tcPr>
          <w:p>
            <w:pPr>
              <w:spacing w:after="20"/>
            </w:pPr>
            <w:r/>
            <w:r>
              <w:rPr>
                <w:rFonts w:ascii="Aptos" w:hAnsi="Aptos"/>
                <w:b w:val="0"/>
                <w:sz w:val="15"/>
              </w:rPr>
              <w:t>10. Decision request / Q&amp;A</w:t>
            </w:r>
          </w:p>
        </w:tc>
        <w:tc>
          <w:tcPr>
            <w:tcW w:type="dxa" w:w="3360"/>
            <w:vAlign w:val="center"/>
            <w:shd w:fill="F1F5F9"/>
          </w:tcPr>
          <w:p>
            <w:pPr>
              <w:spacing w:after="20"/>
            </w:pPr>
            <w:r/>
            <w:r>
              <w:rPr>
                <w:rFonts w:ascii="Aptos" w:hAnsi="Aptos"/>
                <w:b w:val="0"/>
                <w:sz w:val="15"/>
              </w:rPr>
              <w:t>What approval, data, or follow-up is needed.</w:t>
            </w:r>
          </w:p>
        </w:tc>
        <w:tc>
          <w:tcPr>
            <w:tcW w:type="dxa" w:w="3360"/>
            <w:vAlign w:val="center"/>
            <w:shd w:fill="F1F5F9"/>
          </w:tcPr>
          <w:p>
            <w:pPr>
              <w:spacing w:after="20"/>
            </w:pPr>
            <w:r/>
            <w:r>
              <w:rPr>
                <w:rFonts w:ascii="Aptos" w:hAnsi="Aptos"/>
                <w:b w:val="0"/>
                <w:sz w:val="15"/>
              </w:rPr>
              <w:t>Clear closing request and discussion.</w:t>
            </w:r>
          </w:p>
        </w:tc>
      </w:tr>
    </w:tbl>
    <w:p/>
    <w:p>
      <w:pPr>
        <w:pStyle w:val="Heading2"/>
      </w:pPr>
      <w:r>
        <w:t>8.1 Suggested briefing timeline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6"/>
              </w:rPr>
              <w:t>Activity</w:t>
            </w:r>
          </w:p>
        </w:tc>
        <w:tc>
          <w:tcPr>
            <w:tcW w:type="dxa" w:w="5040"/>
            <w:vAlign w:val="center"/>
            <w:shd w:fill="17365D"/>
          </w:tcPr>
          <w:p>
            <w:pPr>
              <w:spacing w:after="20"/>
            </w:pPr>
            <w:r/>
            <w:r>
              <w:rPr>
                <w:rFonts w:ascii="Aptos" w:hAnsi="Aptos"/>
                <w:b/>
                <w:color w:val="FFFFFF"/>
                <w:sz w:val="16"/>
              </w:rPr>
              <w:t>Time</w:t>
            </w:r>
          </w:p>
        </w:tc>
      </w:tr>
      <w:tr>
        <w:tc>
          <w:tcPr>
            <w:tcW w:type="dxa" w:w="5040"/>
            <w:vAlign w:val="center"/>
          </w:tcPr>
          <w:p>
            <w:pPr>
              <w:spacing w:after="20"/>
            </w:pPr>
            <w:r/>
            <w:r>
              <w:rPr>
                <w:rFonts w:ascii="Aptos" w:hAnsi="Aptos"/>
                <w:b w:val="0"/>
                <w:sz w:val="15"/>
              </w:rPr>
              <w:t>Opening and objective</w:t>
            </w:r>
          </w:p>
        </w:tc>
        <w:tc>
          <w:tcPr>
            <w:tcW w:type="dxa" w:w="5040"/>
            <w:vAlign w:val="center"/>
          </w:tcPr>
          <w:p>
            <w:pPr>
              <w:spacing w:after="20"/>
            </w:pPr>
            <w:r/>
            <w:r>
              <w:rPr>
                <w:rFonts w:ascii="Aptos" w:hAnsi="Aptos"/>
                <w:b w:val="0"/>
                <w:sz w:val="15"/>
              </w:rPr>
              <w:t>1 minute</w:t>
            </w:r>
          </w:p>
        </w:tc>
      </w:tr>
      <w:tr>
        <w:tc>
          <w:tcPr>
            <w:tcW w:type="dxa" w:w="5040"/>
            <w:vAlign w:val="center"/>
            <w:shd w:fill="F1F5F9"/>
          </w:tcPr>
          <w:p>
            <w:pPr>
              <w:spacing w:after="20"/>
            </w:pPr>
            <w:r/>
            <w:r>
              <w:rPr>
                <w:rFonts w:ascii="Aptos" w:hAnsi="Aptos"/>
                <w:b w:val="0"/>
                <w:sz w:val="15"/>
              </w:rPr>
              <w:t>Data sources and methodology</w:t>
            </w:r>
          </w:p>
        </w:tc>
        <w:tc>
          <w:tcPr>
            <w:tcW w:type="dxa" w:w="5040"/>
            <w:vAlign w:val="center"/>
            <w:shd w:fill="F1F5F9"/>
          </w:tcPr>
          <w:p>
            <w:pPr>
              <w:spacing w:after="20"/>
            </w:pPr>
            <w:r/>
            <w:r>
              <w:rPr>
                <w:rFonts w:ascii="Aptos" w:hAnsi="Aptos"/>
                <w:b w:val="0"/>
                <w:sz w:val="15"/>
              </w:rPr>
              <w:t>2 minutes</w:t>
            </w:r>
          </w:p>
        </w:tc>
      </w:tr>
      <w:tr>
        <w:tc>
          <w:tcPr>
            <w:tcW w:type="dxa" w:w="5040"/>
            <w:vAlign w:val="center"/>
          </w:tcPr>
          <w:p>
            <w:pPr>
              <w:spacing w:after="20"/>
            </w:pPr>
            <w:r/>
            <w:r>
              <w:rPr>
                <w:rFonts w:ascii="Aptos" w:hAnsi="Aptos"/>
                <w:b w:val="0"/>
                <w:sz w:val="15"/>
              </w:rPr>
              <w:t>Data quality and key findings</w:t>
            </w:r>
          </w:p>
        </w:tc>
        <w:tc>
          <w:tcPr>
            <w:tcW w:type="dxa" w:w="5040"/>
            <w:vAlign w:val="center"/>
          </w:tcPr>
          <w:p>
            <w:pPr>
              <w:spacing w:after="20"/>
            </w:pPr>
            <w:r/>
            <w:r>
              <w:rPr>
                <w:rFonts w:ascii="Aptos" w:hAnsi="Aptos"/>
                <w:b w:val="0"/>
                <w:sz w:val="15"/>
              </w:rPr>
              <w:t>3 minutes</w:t>
            </w:r>
          </w:p>
        </w:tc>
      </w:tr>
      <w:tr>
        <w:tc>
          <w:tcPr>
            <w:tcW w:type="dxa" w:w="5040"/>
            <w:vAlign w:val="center"/>
            <w:shd w:fill="F1F5F9"/>
          </w:tcPr>
          <w:p>
            <w:pPr>
              <w:spacing w:after="20"/>
            </w:pPr>
            <w:r/>
            <w:r>
              <w:rPr>
                <w:rFonts w:ascii="Aptos" w:hAnsi="Aptos"/>
                <w:b w:val="0"/>
                <w:sz w:val="15"/>
              </w:rPr>
              <w:t>Recommendations and limitations</w:t>
            </w:r>
          </w:p>
        </w:tc>
        <w:tc>
          <w:tcPr>
            <w:tcW w:type="dxa" w:w="5040"/>
            <w:vAlign w:val="center"/>
            <w:shd w:fill="F1F5F9"/>
          </w:tcPr>
          <w:p>
            <w:pPr>
              <w:spacing w:after="20"/>
            </w:pPr>
            <w:r/>
            <w:r>
              <w:rPr>
                <w:rFonts w:ascii="Aptos" w:hAnsi="Aptos"/>
                <w:b w:val="0"/>
                <w:sz w:val="15"/>
              </w:rPr>
              <w:t>3 minutes</w:t>
            </w:r>
          </w:p>
        </w:tc>
      </w:tr>
      <w:tr>
        <w:tc>
          <w:tcPr>
            <w:tcW w:type="dxa" w:w="5040"/>
            <w:vAlign w:val="center"/>
          </w:tcPr>
          <w:p>
            <w:pPr>
              <w:spacing w:after="20"/>
            </w:pPr>
            <w:r/>
            <w:r>
              <w:rPr>
                <w:rFonts w:ascii="Aptos" w:hAnsi="Aptos"/>
                <w:b w:val="0"/>
                <w:sz w:val="15"/>
              </w:rPr>
              <w:t>Next steps and decision request</w:t>
            </w:r>
          </w:p>
        </w:tc>
        <w:tc>
          <w:tcPr>
            <w:tcW w:type="dxa" w:w="5040"/>
            <w:vAlign w:val="center"/>
          </w:tcPr>
          <w:p>
            <w:pPr>
              <w:spacing w:after="20"/>
            </w:pPr>
            <w:r/>
            <w:r>
              <w:rPr>
                <w:rFonts w:ascii="Aptos" w:hAnsi="Aptos"/>
                <w:b w:val="0"/>
                <w:sz w:val="15"/>
              </w:rPr>
              <w:t>1–2 minutes</w:t>
            </w:r>
          </w:p>
        </w:tc>
      </w:tr>
      <w:tr>
        <w:tc>
          <w:tcPr>
            <w:tcW w:type="dxa" w:w="5040"/>
            <w:vAlign w:val="center"/>
            <w:shd w:fill="F1F5F9"/>
          </w:tcPr>
          <w:p>
            <w:pPr>
              <w:spacing w:after="20"/>
            </w:pPr>
            <w:r/>
            <w:r>
              <w:rPr>
                <w:rFonts w:ascii="Aptos" w:hAnsi="Aptos"/>
                <w:b w:val="0"/>
                <w:sz w:val="15"/>
              </w:rPr>
              <w:t>Questions</w:t>
            </w:r>
          </w:p>
        </w:tc>
        <w:tc>
          <w:tcPr>
            <w:tcW w:type="dxa" w:w="5040"/>
            <w:vAlign w:val="center"/>
            <w:shd w:fill="F1F5F9"/>
          </w:tcPr>
          <w:p>
            <w:pPr>
              <w:spacing w:after="20"/>
            </w:pPr>
            <w:r/>
            <w:r>
              <w:rPr>
                <w:rFonts w:ascii="Aptos" w:hAnsi="Aptos"/>
                <w:b w:val="0"/>
                <w:sz w:val="15"/>
              </w:rPr>
              <w:t>5 minutes</w:t>
            </w:r>
          </w:p>
        </w:tc>
      </w:tr>
    </w:tbl>
    <w:p/>
    <w:p>
      <w:pPr>
        <w:pStyle w:val="Heading1"/>
      </w:pPr>
      <w:r>
        <w:t>9. Quality Assurance and Reproducibility</w:t>
      </w:r>
    </w:p>
    <w:p>
      <w:pPr>
        <w:pStyle w:val="ListBullet"/>
        <w:spacing w:after="40"/>
      </w:pPr>
      <w:r>
        <w:t>Verify all figures against the analysis output and source metadata.</w:t>
      </w:r>
    </w:p>
    <w:p>
      <w:pPr>
        <w:pStyle w:val="ListBullet"/>
        <w:spacing w:after="40"/>
      </w:pPr>
      <w:r>
        <w:t>Check that every chart includes title, axes, units, period, and source.</w:t>
      </w:r>
    </w:p>
    <w:p>
      <w:pPr>
        <w:pStyle w:val="ListBullet"/>
        <w:spacing w:after="40"/>
      </w:pPr>
      <w:r>
        <w:t>Re-run the notebook from beginning to end and ensure the documented environment is sufficient.</w:t>
      </w:r>
    </w:p>
    <w:p>
      <w:pPr>
        <w:pStyle w:val="ListBullet"/>
        <w:spacing w:after="40"/>
      </w:pPr>
      <w:r>
        <w:t>Keep raw files separate from processed outputs and preserve a cleaning log.</w:t>
      </w:r>
    </w:p>
    <w:p>
      <w:pPr>
        <w:pStyle w:val="ListBullet"/>
        <w:spacing w:after="40"/>
      </w:pPr>
      <w:r>
        <w:t>Ensure each recommendation maps to a finding and each finding maps to an output or source.</w:t>
      </w:r>
    </w:p>
    <w:p>
      <w:pPr>
        <w:pStyle w:val="ListBullet"/>
        <w:spacing w:after="40"/>
      </w:pPr>
      <w:r>
        <w:t>Label hypothetical examples clearly and never present them as observed results.</w:t>
      </w:r>
    </w:p>
    <w:p>
      <w:pPr>
        <w:pStyle w:val="ListBullet"/>
        <w:spacing w:after="40"/>
      </w:pPr>
      <w:r>
        <w:t>Check citations, spelling, table consistency, and report version before submission.</w:t>
      </w:r>
    </w:p>
    <w:p>
      <w:pPr>
        <w:pStyle w:val="Heading1"/>
      </w:pPr>
      <w:r>
        <w:t>10. Timeline and Estimated Effort</w:t>
      </w:r>
    </w:p>
    <w:p>
      <w:r>
        <w:t>The plan totals 33 hours, matching the task's estimated 30–35 hours.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7365D"/>
          </w:tcPr>
          <w:p>
            <w:pPr>
              <w:spacing w:after="20"/>
            </w:pPr>
            <w:r/>
            <w:r>
              <w:rPr>
                <w:rFonts w:ascii="Aptos" w:hAnsi="Aptos"/>
                <w:b/>
                <w:color w:val="FFFFFF"/>
                <w:sz w:val="16"/>
              </w:rPr>
              <w:t>Stage</w:t>
            </w:r>
          </w:p>
        </w:tc>
        <w:tc>
          <w:tcPr>
            <w:tcW w:type="dxa" w:w="2520"/>
            <w:vAlign w:val="center"/>
            <w:shd w:fill="17365D"/>
          </w:tcPr>
          <w:p>
            <w:pPr>
              <w:spacing w:after="20"/>
            </w:pPr>
            <w:r/>
            <w:r>
              <w:rPr>
                <w:rFonts w:ascii="Aptos" w:hAnsi="Aptos"/>
                <w:b/>
                <w:color w:val="FFFFFF"/>
                <w:sz w:val="16"/>
              </w:rPr>
              <w:t>Activities</w:t>
            </w:r>
          </w:p>
        </w:tc>
        <w:tc>
          <w:tcPr>
            <w:tcW w:type="dxa" w:w="2520"/>
            <w:vAlign w:val="center"/>
            <w:shd w:fill="17365D"/>
          </w:tcPr>
          <w:p>
            <w:pPr>
              <w:spacing w:after="20"/>
            </w:pPr>
            <w:r/>
            <w:r>
              <w:rPr>
                <w:rFonts w:ascii="Aptos" w:hAnsi="Aptos"/>
                <w:b/>
                <w:color w:val="FFFFFF"/>
                <w:sz w:val="16"/>
              </w:rPr>
              <w:t>Hours</w:t>
            </w:r>
          </w:p>
        </w:tc>
        <w:tc>
          <w:tcPr>
            <w:tcW w:type="dxa" w:w="2520"/>
            <w:vAlign w:val="center"/>
            <w:shd w:fill="17365D"/>
          </w:tcPr>
          <w:p>
            <w:pPr>
              <w:spacing w:after="20"/>
            </w:pPr>
            <w:r/>
            <w:r>
              <w:rPr>
                <w:rFonts w:ascii="Aptos" w:hAnsi="Aptos"/>
                <w:b/>
                <w:color w:val="FFFFFF"/>
                <w:sz w:val="16"/>
              </w:rPr>
              <w:t>Deliverable</w:t>
            </w:r>
          </w:p>
        </w:tc>
      </w:tr>
      <w:tr>
        <w:tc>
          <w:tcPr>
            <w:tcW w:type="dxa" w:w="2520"/>
            <w:vAlign w:val="center"/>
          </w:tcPr>
          <w:p>
            <w:pPr>
              <w:spacing w:after="20"/>
            </w:pPr>
            <w:r/>
            <w:r>
              <w:rPr>
                <w:rFonts w:ascii="Aptos" w:hAnsi="Aptos"/>
                <w:b w:val="0"/>
                <w:sz w:val="15"/>
              </w:rPr>
              <w:t>1. Review prior workflow</w:t>
            </w:r>
          </w:p>
        </w:tc>
        <w:tc>
          <w:tcPr>
            <w:tcW w:type="dxa" w:w="2520"/>
            <w:vAlign w:val="center"/>
          </w:tcPr>
          <w:p>
            <w:pPr>
              <w:spacing w:after="20"/>
            </w:pPr>
            <w:r/>
            <w:r>
              <w:rPr>
                <w:rFonts w:ascii="Aptos" w:hAnsi="Aptos"/>
                <w:b w:val="0"/>
                <w:sz w:val="15"/>
              </w:rPr>
              <w:t>Review source inventory, preprocessing plan, KPIs, and analysis outputs or identify what remains conceptual.</w:t>
            </w:r>
          </w:p>
        </w:tc>
        <w:tc>
          <w:tcPr>
            <w:tcW w:type="dxa" w:w="2520"/>
            <w:vAlign w:val="center"/>
          </w:tcPr>
          <w:p>
            <w:pPr>
              <w:spacing w:after="20"/>
            </w:pPr>
            <w:r/>
            <w:r>
              <w:rPr>
                <w:rFonts w:ascii="Aptos" w:hAnsi="Aptos"/>
                <w:b w:val="0"/>
                <w:sz w:val="15"/>
              </w:rPr>
              <w:t>4</w:t>
            </w:r>
          </w:p>
        </w:tc>
        <w:tc>
          <w:tcPr>
            <w:tcW w:type="dxa" w:w="2520"/>
            <w:vAlign w:val="center"/>
          </w:tcPr>
          <w:p>
            <w:pPr>
              <w:spacing w:after="20"/>
            </w:pPr>
            <w:r/>
            <w:r>
              <w:rPr>
                <w:rFonts w:ascii="Aptos" w:hAnsi="Aptos"/>
                <w:b w:val="0"/>
                <w:sz w:val="15"/>
              </w:rPr>
              <w:t>Scope and evidence checklist.</w:t>
            </w:r>
          </w:p>
        </w:tc>
      </w:tr>
      <w:tr>
        <w:tc>
          <w:tcPr>
            <w:tcW w:type="dxa" w:w="2520"/>
            <w:vAlign w:val="center"/>
            <w:shd w:fill="F1F5F9"/>
          </w:tcPr>
          <w:p>
            <w:pPr>
              <w:spacing w:after="20"/>
            </w:pPr>
            <w:r/>
            <w:r>
              <w:rPr>
                <w:rFonts w:ascii="Aptos" w:hAnsi="Aptos"/>
                <w:b w:val="0"/>
                <w:sz w:val="15"/>
              </w:rPr>
              <w:t>2. Validate analysis outputs</w:t>
            </w:r>
          </w:p>
        </w:tc>
        <w:tc>
          <w:tcPr>
            <w:tcW w:type="dxa" w:w="2520"/>
            <w:vAlign w:val="center"/>
            <w:shd w:fill="F1F5F9"/>
          </w:tcPr>
          <w:p>
            <w:pPr>
              <w:spacing w:after="20"/>
            </w:pPr>
            <w:r/>
            <w:r>
              <w:rPr>
                <w:rFonts w:ascii="Aptos" w:hAnsi="Aptos"/>
                <w:b w:val="0"/>
                <w:sz w:val="15"/>
              </w:rPr>
              <w:t>Check formulas, units, periods, missingness, and reproducibility.</w:t>
            </w:r>
          </w:p>
        </w:tc>
        <w:tc>
          <w:tcPr>
            <w:tcW w:type="dxa" w:w="2520"/>
            <w:vAlign w:val="center"/>
            <w:shd w:fill="F1F5F9"/>
          </w:tcPr>
          <w:p>
            <w:pPr>
              <w:spacing w:after="20"/>
            </w:pPr>
            <w:r/>
            <w:r>
              <w:rPr>
                <w:rFonts w:ascii="Aptos" w:hAnsi="Aptos"/>
                <w:b w:val="0"/>
                <w:sz w:val="15"/>
              </w:rPr>
              <w:t>5</w:t>
            </w:r>
          </w:p>
        </w:tc>
        <w:tc>
          <w:tcPr>
            <w:tcW w:type="dxa" w:w="2520"/>
            <w:vAlign w:val="center"/>
            <w:shd w:fill="F1F5F9"/>
          </w:tcPr>
          <w:p>
            <w:pPr>
              <w:spacing w:after="20"/>
            </w:pPr>
            <w:r/>
            <w:r>
              <w:rPr>
                <w:rFonts w:ascii="Aptos" w:hAnsi="Aptos"/>
                <w:b w:val="0"/>
                <w:sz w:val="15"/>
              </w:rPr>
              <w:t>Validation notes and quality summary.</w:t>
            </w:r>
          </w:p>
        </w:tc>
      </w:tr>
      <w:tr>
        <w:tc>
          <w:tcPr>
            <w:tcW w:type="dxa" w:w="2520"/>
            <w:vAlign w:val="center"/>
          </w:tcPr>
          <w:p>
            <w:pPr>
              <w:spacing w:after="20"/>
            </w:pPr>
            <w:r/>
            <w:r>
              <w:rPr>
                <w:rFonts w:ascii="Aptos" w:hAnsi="Aptos"/>
                <w:b w:val="0"/>
                <w:sz w:val="15"/>
              </w:rPr>
              <w:t>3. Interpret findings</w:t>
            </w:r>
          </w:p>
        </w:tc>
        <w:tc>
          <w:tcPr>
            <w:tcW w:type="dxa" w:w="2520"/>
            <w:vAlign w:val="center"/>
          </w:tcPr>
          <w:p>
            <w:pPr>
              <w:spacing w:after="20"/>
            </w:pPr>
            <w:r/>
            <w:r>
              <w:rPr>
                <w:rFonts w:ascii="Aptos" w:hAnsi="Aptos"/>
                <w:b w:val="0"/>
                <w:sz w:val="15"/>
              </w:rPr>
              <w:t>Write concise evidence-based narratives and alternative explanations.</w:t>
            </w:r>
          </w:p>
        </w:tc>
        <w:tc>
          <w:tcPr>
            <w:tcW w:type="dxa" w:w="2520"/>
            <w:vAlign w:val="center"/>
          </w:tcPr>
          <w:p>
            <w:pPr>
              <w:spacing w:after="20"/>
            </w:pPr>
            <w:r/>
            <w:r>
              <w:rPr>
                <w:rFonts w:ascii="Aptos" w:hAnsi="Aptos"/>
                <w:b w:val="0"/>
                <w:sz w:val="15"/>
              </w:rPr>
              <w:t>5</w:t>
            </w:r>
          </w:p>
        </w:tc>
        <w:tc>
          <w:tcPr>
            <w:tcW w:type="dxa" w:w="2520"/>
            <w:vAlign w:val="center"/>
          </w:tcPr>
          <w:p>
            <w:pPr>
              <w:spacing w:after="20"/>
            </w:pPr>
            <w:r/>
            <w:r>
              <w:rPr>
                <w:rFonts w:ascii="Aptos" w:hAnsi="Aptos"/>
                <w:b w:val="0"/>
                <w:sz w:val="15"/>
              </w:rPr>
              <w:t>Findings and interpretation table.</w:t>
            </w:r>
          </w:p>
        </w:tc>
      </w:tr>
      <w:tr>
        <w:tc>
          <w:tcPr>
            <w:tcW w:type="dxa" w:w="2520"/>
            <w:vAlign w:val="center"/>
            <w:shd w:fill="F1F5F9"/>
          </w:tcPr>
          <w:p>
            <w:pPr>
              <w:spacing w:after="20"/>
            </w:pPr>
            <w:r/>
            <w:r>
              <w:rPr>
                <w:rFonts w:ascii="Aptos" w:hAnsi="Aptos"/>
                <w:b w:val="0"/>
                <w:sz w:val="15"/>
              </w:rPr>
              <w:t>4. Build visuals and report</w:t>
            </w:r>
          </w:p>
        </w:tc>
        <w:tc>
          <w:tcPr>
            <w:tcW w:type="dxa" w:w="2520"/>
            <w:vAlign w:val="center"/>
            <w:shd w:fill="F1F5F9"/>
          </w:tcPr>
          <w:p>
            <w:pPr>
              <w:spacing w:after="20"/>
            </w:pPr>
            <w:r/>
            <w:r>
              <w:rPr>
                <w:rFonts w:ascii="Aptos" w:hAnsi="Aptos"/>
                <w:b w:val="0"/>
                <w:sz w:val="15"/>
              </w:rPr>
              <w:t>Select charts, add captions, summarize methods, and structure report.</w:t>
            </w:r>
          </w:p>
        </w:tc>
        <w:tc>
          <w:tcPr>
            <w:tcW w:type="dxa" w:w="2520"/>
            <w:vAlign w:val="center"/>
            <w:shd w:fill="F1F5F9"/>
          </w:tcPr>
          <w:p>
            <w:pPr>
              <w:spacing w:after="20"/>
            </w:pPr>
            <w:r/>
            <w:r>
              <w:rPr>
                <w:rFonts w:ascii="Aptos" w:hAnsi="Aptos"/>
                <w:b w:val="0"/>
                <w:sz w:val="15"/>
              </w:rPr>
              <w:t>6</w:t>
            </w:r>
          </w:p>
        </w:tc>
        <w:tc>
          <w:tcPr>
            <w:tcW w:type="dxa" w:w="2520"/>
            <w:vAlign w:val="center"/>
            <w:shd w:fill="F1F5F9"/>
          </w:tcPr>
          <w:p>
            <w:pPr>
              <w:spacing w:after="20"/>
            </w:pPr>
            <w:r/>
            <w:r>
              <w:rPr>
                <w:rFonts w:ascii="Aptos" w:hAnsi="Aptos"/>
                <w:b w:val="0"/>
                <w:sz w:val="15"/>
              </w:rPr>
              <w:t>Draft report and visualizations.</w:t>
            </w:r>
          </w:p>
        </w:tc>
      </w:tr>
      <w:tr>
        <w:tc>
          <w:tcPr>
            <w:tcW w:type="dxa" w:w="2520"/>
            <w:vAlign w:val="center"/>
          </w:tcPr>
          <w:p>
            <w:pPr>
              <w:spacing w:after="20"/>
            </w:pPr>
            <w:r/>
            <w:r>
              <w:rPr>
                <w:rFonts w:ascii="Aptos" w:hAnsi="Aptos"/>
                <w:b w:val="0"/>
                <w:sz w:val="15"/>
              </w:rPr>
              <w:t>5. Develop recommendations</w:t>
            </w:r>
          </w:p>
        </w:tc>
        <w:tc>
          <w:tcPr>
            <w:tcW w:type="dxa" w:w="2520"/>
            <w:vAlign w:val="center"/>
          </w:tcPr>
          <w:p>
            <w:pPr>
              <w:spacing w:after="20"/>
            </w:pPr>
            <w:r/>
            <w:r>
              <w:rPr>
                <w:rFonts w:ascii="Aptos" w:hAnsi="Aptos"/>
                <w:b w:val="0"/>
                <w:sz w:val="15"/>
              </w:rPr>
              <w:t>Prioritize feasible actions and define follow-up metrics.</w:t>
            </w:r>
          </w:p>
        </w:tc>
        <w:tc>
          <w:tcPr>
            <w:tcW w:type="dxa" w:w="2520"/>
            <w:vAlign w:val="center"/>
          </w:tcPr>
          <w:p>
            <w:pPr>
              <w:spacing w:after="20"/>
            </w:pPr>
            <w:r/>
            <w:r>
              <w:rPr>
                <w:rFonts w:ascii="Aptos" w:hAnsi="Aptos"/>
                <w:b w:val="0"/>
                <w:sz w:val="15"/>
              </w:rPr>
              <w:t>4</w:t>
            </w:r>
          </w:p>
        </w:tc>
        <w:tc>
          <w:tcPr>
            <w:tcW w:type="dxa" w:w="2520"/>
            <w:vAlign w:val="center"/>
          </w:tcPr>
          <w:p>
            <w:pPr>
              <w:spacing w:after="20"/>
            </w:pPr>
            <w:r/>
            <w:r>
              <w:rPr>
                <w:rFonts w:ascii="Aptos" w:hAnsi="Aptos"/>
                <w:b w:val="0"/>
                <w:sz w:val="15"/>
              </w:rPr>
              <w:t>Recommendation matrix.</w:t>
            </w:r>
          </w:p>
        </w:tc>
      </w:tr>
      <w:tr>
        <w:tc>
          <w:tcPr>
            <w:tcW w:type="dxa" w:w="2520"/>
            <w:vAlign w:val="center"/>
            <w:shd w:fill="F1F5F9"/>
          </w:tcPr>
          <w:p>
            <w:pPr>
              <w:spacing w:after="20"/>
            </w:pPr>
            <w:r/>
            <w:r>
              <w:rPr>
                <w:rFonts w:ascii="Aptos" w:hAnsi="Aptos"/>
                <w:b w:val="0"/>
                <w:sz w:val="15"/>
              </w:rPr>
              <w:t>6. Prepare presentation</w:t>
            </w:r>
          </w:p>
        </w:tc>
        <w:tc>
          <w:tcPr>
            <w:tcW w:type="dxa" w:w="2520"/>
            <w:vAlign w:val="center"/>
            <w:shd w:fill="F1F5F9"/>
          </w:tcPr>
          <w:p>
            <w:pPr>
              <w:spacing w:after="20"/>
            </w:pPr>
            <w:r/>
            <w:r>
              <w:rPr>
                <w:rFonts w:ascii="Aptos" w:hAnsi="Aptos"/>
                <w:b w:val="0"/>
                <w:sz w:val="15"/>
              </w:rPr>
              <w:t>Create briefing outline, speaking points, and timing.</w:t>
            </w:r>
          </w:p>
        </w:tc>
        <w:tc>
          <w:tcPr>
            <w:tcW w:type="dxa" w:w="2520"/>
            <w:vAlign w:val="center"/>
            <w:shd w:fill="F1F5F9"/>
          </w:tcPr>
          <w:p>
            <w:pPr>
              <w:spacing w:after="20"/>
            </w:pPr>
            <w:r/>
            <w:r>
              <w:rPr>
                <w:rFonts w:ascii="Aptos" w:hAnsi="Aptos"/>
                <w:b w:val="0"/>
                <w:sz w:val="15"/>
              </w:rPr>
              <w:t>4</w:t>
            </w:r>
          </w:p>
        </w:tc>
        <w:tc>
          <w:tcPr>
            <w:tcW w:type="dxa" w:w="2520"/>
            <w:vAlign w:val="center"/>
            <w:shd w:fill="F1F5F9"/>
          </w:tcPr>
          <w:p>
            <w:pPr>
              <w:spacing w:after="20"/>
            </w:pPr>
            <w:r/>
            <w:r>
              <w:rPr>
                <w:rFonts w:ascii="Aptos" w:hAnsi="Aptos"/>
                <w:b w:val="0"/>
                <w:sz w:val="15"/>
              </w:rPr>
              <w:t>Stakeholder presentation plan.</w:t>
            </w:r>
          </w:p>
        </w:tc>
      </w:tr>
      <w:tr>
        <w:tc>
          <w:tcPr>
            <w:tcW w:type="dxa" w:w="2520"/>
            <w:vAlign w:val="center"/>
          </w:tcPr>
          <w:p>
            <w:pPr>
              <w:spacing w:after="20"/>
            </w:pPr>
            <w:r/>
            <w:r>
              <w:rPr>
                <w:rFonts w:ascii="Aptos" w:hAnsi="Aptos"/>
                <w:b w:val="0"/>
                <w:sz w:val="15"/>
              </w:rPr>
              <w:t>7. Review and package</w:t>
            </w:r>
          </w:p>
        </w:tc>
        <w:tc>
          <w:tcPr>
            <w:tcW w:type="dxa" w:w="2520"/>
            <w:vAlign w:val="center"/>
          </w:tcPr>
          <w:p>
            <w:pPr>
              <w:spacing w:after="20"/>
            </w:pPr>
            <w:r/>
            <w:r>
              <w:rPr>
                <w:rFonts w:ascii="Aptos" w:hAnsi="Aptos"/>
                <w:b w:val="0"/>
                <w:sz w:val="15"/>
              </w:rPr>
              <w:t>Review limitations, references, consistency, and final DOCX formatting.</w:t>
            </w:r>
          </w:p>
        </w:tc>
        <w:tc>
          <w:tcPr>
            <w:tcW w:type="dxa" w:w="2520"/>
            <w:vAlign w:val="center"/>
          </w:tcPr>
          <w:p>
            <w:pPr>
              <w:spacing w:after="20"/>
            </w:pPr>
            <w:r/>
            <w:r>
              <w:rPr>
                <w:rFonts w:ascii="Aptos" w:hAnsi="Aptos"/>
                <w:b w:val="0"/>
                <w:sz w:val="15"/>
              </w:rPr>
              <w:t>5</w:t>
            </w:r>
          </w:p>
        </w:tc>
        <w:tc>
          <w:tcPr>
            <w:tcW w:type="dxa" w:w="2520"/>
            <w:vAlign w:val="center"/>
          </w:tcPr>
          <w:p>
            <w:pPr>
              <w:spacing w:after="20"/>
            </w:pPr>
            <w:r/>
            <w:r>
              <w:rPr>
                <w:rFonts w:ascii="Aptos" w:hAnsi="Aptos"/>
                <w:b w:val="0"/>
                <w:sz w:val="15"/>
              </w:rPr>
              <w:t>Final report and submission package.</w:t>
            </w:r>
          </w:p>
        </w:tc>
      </w:tr>
      <w:tr>
        <w:tc>
          <w:tcPr>
            <w:tcW w:type="dxa" w:w="2520"/>
            <w:vAlign w:val="center"/>
            <w:shd w:fill="F1F5F9"/>
          </w:tcPr>
          <w:p>
            <w:pPr>
              <w:spacing w:after="20"/>
            </w:pPr>
            <w:r/>
            <w:r>
              <w:rPr>
                <w:rFonts w:ascii="Aptos" w:hAnsi="Aptos"/>
                <w:b w:val="0"/>
                <w:sz w:val="15"/>
              </w:rPr>
              <w:t>Total</w:t>
            </w:r>
          </w:p>
        </w:tc>
        <w:tc>
          <w:tcPr>
            <w:tcW w:type="dxa" w:w="2520"/>
            <w:vAlign w:val="center"/>
            <w:shd w:fill="F1F5F9"/>
          </w:tcPr>
          <w:p>
            <w:pPr>
              <w:spacing w:after="20"/>
            </w:pPr>
            <w:r/>
            <w:r>
              <w:rPr>
                <w:rFonts w:ascii="Aptos" w:hAnsi="Aptos"/>
                <w:b w:val="0"/>
                <w:sz w:val="15"/>
              </w:rPr>
            </w:r>
          </w:p>
        </w:tc>
        <w:tc>
          <w:tcPr>
            <w:tcW w:type="dxa" w:w="2520"/>
            <w:vAlign w:val="center"/>
            <w:shd w:fill="F1F5F9"/>
          </w:tcPr>
          <w:p>
            <w:pPr>
              <w:spacing w:after="20"/>
            </w:pPr>
            <w:r/>
            <w:r>
              <w:rPr>
                <w:rFonts w:ascii="Aptos" w:hAnsi="Aptos"/>
                <w:b w:val="0"/>
                <w:sz w:val="15"/>
              </w:rPr>
              <w:t>33</w:t>
            </w:r>
          </w:p>
        </w:tc>
        <w:tc>
          <w:tcPr>
            <w:tcW w:type="dxa" w:w="2520"/>
            <w:vAlign w:val="center"/>
            <w:shd w:fill="F1F5F9"/>
          </w:tcPr>
          <w:p>
            <w:pPr>
              <w:spacing w:after="20"/>
            </w:pPr>
            <w:r/>
            <w:r>
              <w:rPr>
                <w:rFonts w:ascii="Aptos" w:hAnsi="Aptos"/>
                <w:b w:val="0"/>
                <w:sz w:val="15"/>
              </w:rPr>
              <w:t>Completed reporting strategy.</w:t>
            </w:r>
          </w:p>
        </w:tc>
      </w:tr>
    </w:tbl>
    <w:p/>
    <w:p>
      <w:pPr>
        <w:pStyle w:val="Heading1"/>
      </w:pPr>
      <w:r>
        <w:t>11. Evaluation Criteria and Success Measures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7365D"/>
          </w:tcPr>
          <w:p>
            <w:pPr>
              <w:spacing w:after="20"/>
            </w:pPr>
            <w:r/>
            <w:r>
              <w:rPr>
                <w:rFonts w:ascii="Aptos" w:hAnsi="Aptos"/>
                <w:b/>
                <w:color w:val="FFFFFF"/>
                <w:sz w:val="16"/>
              </w:rPr>
              <w:t>Criterion</w:t>
            </w:r>
          </w:p>
        </w:tc>
        <w:tc>
          <w:tcPr>
            <w:tcW w:type="dxa" w:w="5040"/>
            <w:vAlign w:val="center"/>
            <w:shd w:fill="17365D"/>
          </w:tcPr>
          <w:p>
            <w:pPr>
              <w:spacing w:after="20"/>
            </w:pPr>
            <w:r/>
            <w:r>
              <w:rPr>
                <w:rFonts w:ascii="Aptos" w:hAnsi="Aptos"/>
                <w:b/>
                <w:color w:val="FFFFFF"/>
                <w:sz w:val="16"/>
              </w:rPr>
              <w:t>How success will be demonstrated</w:t>
            </w:r>
          </w:p>
        </w:tc>
      </w:tr>
      <w:tr>
        <w:tc>
          <w:tcPr>
            <w:tcW w:type="dxa" w:w="5040"/>
            <w:vAlign w:val="center"/>
          </w:tcPr>
          <w:p>
            <w:pPr>
              <w:spacing w:after="20"/>
            </w:pPr>
            <w:r/>
            <w:r>
              <w:rPr>
                <w:rFonts w:ascii="Aptos" w:hAnsi="Aptos"/>
                <w:b w:val="0"/>
                <w:sz w:val="15"/>
              </w:rPr>
              <w:t>Professionalism</w:t>
            </w:r>
          </w:p>
        </w:tc>
        <w:tc>
          <w:tcPr>
            <w:tcW w:type="dxa" w:w="5040"/>
            <w:vAlign w:val="center"/>
          </w:tcPr>
          <w:p>
            <w:pPr>
              <w:spacing w:after="20"/>
            </w:pPr>
            <w:r/>
            <w:r>
              <w:rPr>
                <w:rFonts w:ascii="Aptos" w:hAnsi="Aptos"/>
                <w:b w:val="0"/>
                <w:sz w:val="15"/>
              </w:rPr>
              <w:t>Consistent formatting, clear structure, readable charts, and appropriate language.</w:t>
            </w:r>
          </w:p>
        </w:tc>
      </w:tr>
      <w:tr>
        <w:tc>
          <w:tcPr>
            <w:tcW w:type="dxa" w:w="5040"/>
            <w:vAlign w:val="center"/>
            <w:shd w:fill="F1F5F9"/>
          </w:tcPr>
          <w:p>
            <w:pPr>
              <w:spacing w:after="20"/>
            </w:pPr>
            <w:r/>
            <w:r>
              <w:rPr>
                <w:rFonts w:ascii="Aptos" w:hAnsi="Aptos"/>
                <w:b w:val="0"/>
                <w:sz w:val="15"/>
              </w:rPr>
              <w:t>Clarity</w:t>
            </w:r>
          </w:p>
        </w:tc>
        <w:tc>
          <w:tcPr>
            <w:tcW w:type="dxa" w:w="5040"/>
            <w:vAlign w:val="center"/>
            <w:shd w:fill="F1F5F9"/>
          </w:tcPr>
          <w:p>
            <w:pPr>
              <w:spacing w:after="20"/>
            </w:pPr>
            <w:r/>
            <w:r>
              <w:rPr>
                <w:rFonts w:ascii="Aptos" w:hAnsi="Aptos"/>
                <w:b w:val="0"/>
                <w:sz w:val="15"/>
              </w:rPr>
              <w:t>Every major finding states what was measured, for which period, and why it matters.</w:t>
            </w:r>
          </w:p>
        </w:tc>
      </w:tr>
      <w:tr>
        <w:tc>
          <w:tcPr>
            <w:tcW w:type="dxa" w:w="5040"/>
            <w:vAlign w:val="center"/>
          </w:tcPr>
          <w:p>
            <w:pPr>
              <w:spacing w:after="20"/>
            </w:pPr>
            <w:r/>
            <w:r>
              <w:rPr>
                <w:rFonts w:ascii="Aptos" w:hAnsi="Aptos"/>
                <w:b w:val="0"/>
                <w:sz w:val="15"/>
              </w:rPr>
              <w:t>Analytical depth</w:t>
            </w:r>
          </w:p>
        </w:tc>
        <w:tc>
          <w:tcPr>
            <w:tcW w:type="dxa" w:w="5040"/>
            <w:vAlign w:val="center"/>
          </w:tcPr>
          <w:p>
            <w:pPr>
              <w:spacing w:after="20"/>
            </w:pPr>
            <w:r/>
            <w:r>
              <w:rPr>
                <w:rFonts w:ascii="Aptos" w:hAnsi="Aptos"/>
                <w:b w:val="0"/>
                <w:sz w:val="15"/>
              </w:rPr>
              <w:t>Methods match the questions; definitions, assumptions, and limitations are addressed.</w:t>
            </w:r>
          </w:p>
        </w:tc>
      </w:tr>
      <w:tr>
        <w:tc>
          <w:tcPr>
            <w:tcW w:type="dxa" w:w="5040"/>
            <w:vAlign w:val="center"/>
            <w:shd w:fill="F1F5F9"/>
          </w:tcPr>
          <w:p>
            <w:pPr>
              <w:spacing w:after="20"/>
            </w:pPr>
            <w:r/>
            <w:r>
              <w:rPr>
                <w:rFonts w:ascii="Aptos" w:hAnsi="Aptos"/>
                <w:b w:val="0"/>
                <w:sz w:val="15"/>
              </w:rPr>
              <w:t>Strategic insight</w:t>
            </w:r>
          </w:p>
        </w:tc>
        <w:tc>
          <w:tcPr>
            <w:tcW w:type="dxa" w:w="5040"/>
            <w:vAlign w:val="center"/>
            <w:shd w:fill="F1F5F9"/>
          </w:tcPr>
          <w:p>
            <w:pPr>
              <w:spacing w:after="20"/>
            </w:pPr>
            <w:r/>
            <w:r>
              <w:rPr>
                <w:rFonts w:ascii="Aptos" w:hAnsi="Aptos"/>
                <w:b w:val="0"/>
                <w:sz w:val="15"/>
              </w:rPr>
              <w:t>Recommendations are prioritized, feasible, and linked to evidence.</w:t>
            </w:r>
          </w:p>
        </w:tc>
      </w:tr>
      <w:tr>
        <w:tc>
          <w:tcPr>
            <w:tcW w:type="dxa" w:w="5040"/>
            <w:vAlign w:val="center"/>
          </w:tcPr>
          <w:p>
            <w:pPr>
              <w:spacing w:after="20"/>
            </w:pPr>
            <w:r/>
            <w:r>
              <w:rPr>
                <w:rFonts w:ascii="Aptos" w:hAnsi="Aptos"/>
                <w:b w:val="0"/>
                <w:sz w:val="15"/>
              </w:rPr>
              <w:t>Reproducibility</w:t>
            </w:r>
          </w:p>
        </w:tc>
        <w:tc>
          <w:tcPr>
            <w:tcW w:type="dxa" w:w="5040"/>
            <w:vAlign w:val="center"/>
          </w:tcPr>
          <w:p>
            <w:pPr>
              <w:spacing w:after="20"/>
            </w:pPr>
            <w:r/>
            <w:r>
              <w:rPr>
                <w:rFonts w:ascii="Aptos" w:hAnsi="Aptos"/>
                <w:b w:val="0"/>
                <w:sz w:val="15"/>
              </w:rPr>
              <w:t>Sources, code, cleaning steps, and outputs can be traced and rerun.</w:t>
            </w:r>
          </w:p>
        </w:tc>
      </w:tr>
      <w:tr>
        <w:tc>
          <w:tcPr>
            <w:tcW w:type="dxa" w:w="5040"/>
            <w:vAlign w:val="center"/>
            <w:shd w:fill="F1F5F9"/>
          </w:tcPr>
          <w:p>
            <w:pPr>
              <w:spacing w:after="20"/>
            </w:pPr>
            <w:r/>
            <w:r>
              <w:rPr>
                <w:rFonts w:ascii="Aptos" w:hAnsi="Aptos"/>
                <w:b w:val="0"/>
                <w:sz w:val="15"/>
              </w:rPr>
              <w:t>Responsible reporting</w:t>
            </w:r>
          </w:p>
        </w:tc>
        <w:tc>
          <w:tcPr>
            <w:tcW w:type="dxa" w:w="5040"/>
            <w:vAlign w:val="center"/>
            <w:shd w:fill="F1F5F9"/>
          </w:tcPr>
          <w:p>
            <w:pPr>
              <w:spacing w:after="20"/>
            </w:pPr>
            <w:r/>
            <w:r>
              <w:rPr>
                <w:rFonts w:ascii="Aptos" w:hAnsi="Aptos"/>
                <w:b w:val="0"/>
                <w:sz w:val="15"/>
              </w:rPr>
              <w:t>Hypothetical examples are labelled; uncertainty and non-causal limits are explicit.</w:t>
            </w:r>
          </w:p>
        </w:tc>
      </w:tr>
    </w:tbl>
    <w:p/>
    <w:p>
      <w:pPr>
        <w:pStyle w:val="Heading1"/>
      </w:pPr>
      <w:r>
        <w:t>12. Conclusion</w:t>
      </w:r>
    </w:p>
    <w:p>
      <w:r>
        <w:t>This reporting strategy provides a structured way to evaluate and communicate e-governance data analysis for decision-makers. A strong final report does more than display charts: it explains how data were collected and prepared, checks whether the evidence is reliable, interprets results carefully, identifies limitations, and proposes measurable next steps. By maintaining traceability from source to finding to recommendation, the project can support transparent and responsible discussion of digital public services.</w:t>
      </w:r>
    </w:p>
    <w:p>
      <w:pPr>
        <w:pStyle w:val="Heading1"/>
      </w:pPr>
      <w:r>
        <w:t>References and Useful Resources</w:t>
      </w:r>
    </w:p>
    <w:p>
      <w:pPr>
        <w:spacing w:after="60"/>
      </w:pPr>
      <w:r>
        <w:rPr>
          <w:b/>
        </w:rPr>
        <w:t xml:space="preserve">1. Open Government Data Platform India: </w:t>
      </w:r>
      <w:r>
        <w:t>https://data.gov.in/</w:t>
        <w:br/>
        <w:t>Potential source of official public datasets; verify dataset-specific metadata and licence.</w:t>
      </w:r>
    </w:p>
    <w:p>
      <w:pPr>
        <w:spacing w:after="60"/>
      </w:pPr>
      <w:r>
        <w:rPr>
          <w:b/>
        </w:rPr>
        <w:t xml:space="preserve">2. World Bank GovTech Maturity Index 2025 Update: </w:t>
      </w:r>
      <w:r>
        <w:t>https://www.worldbank.org/en/programs/govtech/gtmi-2025-update</w:t>
        <w:br/>
        <w:t>Framework for contextual understanding of digital government.</w:t>
      </w:r>
    </w:p>
    <w:p>
      <w:pPr>
        <w:spacing w:after="60"/>
      </w:pPr>
      <w:r>
        <w:rPr>
          <w:b/>
        </w:rPr>
        <w:t xml:space="preserve">3. World Bank GovTech Dataset: </w:t>
      </w:r>
      <w:r>
        <w:t>https://datacatalog.worldbank.org/search/dataset/0037889/govtech-dataset</w:t>
        <w:br/>
        <w:t>Dataset catalogue and metadata.</w:t>
      </w:r>
    </w:p>
    <w:p>
      <w:pPr>
        <w:spacing w:after="60"/>
      </w:pPr>
      <w:r>
        <w:rPr>
          <w:b/>
        </w:rPr>
        <w:t xml:space="preserve">4. pandas documentation: </w:t>
      </w:r>
      <w:r>
        <w:t>https://pandas.pydata.org/docs/</w:t>
        <w:br/>
        <w:t>Data processing and analysis.</w:t>
      </w:r>
    </w:p>
    <w:p>
      <w:pPr>
        <w:spacing w:after="60"/>
      </w:pPr>
      <w:r>
        <w:rPr>
          <w:b/>
        </w:rPr>
        <w:t xml:space="preserve">5. Matplotlib documentation: </w:t>
      </w:r>
      <w:r>
        <w:t>https://matplotlib.org/stable/</w:t>
        <w:br/>
        <w:t>Chart creation and figure export.</w:t>
      </w:r>
    </w:p>
    <w:p>
      <w:pPr>
        <w:spacing w:after="60"/>
      </w:pPr>
      <w:r>
        <w:rPr>
          <w:b/>
        </w:rPr>
        <w:t xml:space="preserve">6. Seaborn documentation: </w:t>
      </w:r>
      <w:r>
        <w:t>https://seaborn.pydata.org/</w:t>
        <w:br/>
        <w:t>Statistical visualization.</w:t>
      </w:r>
    </w:p>
    <w:p>
      <w:pPr>
        <w:spacing w:after="60"/>
      </w:pPr>
      <w:r>
        <w:rPr>
          <w:b/>
        </w:rPr>
        <w:t xml:space="preserve">7. SciPy statistics documentation: </w:t>
      </w:r>
      <w:r>
        <w:t>https://docs.scipy.org/doc/scipy/reference/stats.html</w:t>
        <w:br/>
        <w:t>Statistical methods and tests.</w:t>
      </w:r>
    </w:p>
    <w:p>
      <w:pPr>
        <w:spacing w:after="60"/>
      </w:pPr>
      <w:r>
        <w:rPr>
          <w:b/>
        </w:rPr>
        <w:t xml:space="preserve">8. scikit-learn documentation: </w:t>
      </w:r>
      <w:r>
        <w:t>https://scikit-learn.org/stable/</w:t>
        <w:br/>
        <w:t>Preprocessing, clustering, and modelling.</w:t>
      </w:r>
    </w:p>
    <w:p>
      <w:pPr>
        <w:pStyle w:val="Heading1"/>
      </w:pPr>
      <w:r>
        <w:t>Appendix A — Final Report Checklist</w:t>
      </w:r>
    </w:p>
    <w:p>
      <w:pPr>
        <w:pStyle w:val="ListBullet"/>
        <w:spacing w:after="40"/>
      </w:pPr>
      <w:r>
        <w:t>☐ Methods and data sources are explained clearly.</w:t>
      </w:r>
    </w:p>
    <w:p>
      <w:pPr>
        <w:pStyle w:val="ListBullet"/>
        <w:spacing w:after="40"/>
      </w:pPr>
      <w:r>
        <w:t>☐ All real findings are based on executed analysis; hypothetical examples are clearly labelled.</w:t>
      </w:r>
    </w:p>
    <w:p>
      <w:pPr>
        <w:pStyle w:val="ListBullet"/>
        <w:spacing w:after="40"/>
      </w:pPr>
      <w:r>
        <w:t>☐ Charts and tables have titles, units, periods, and source notes.</w:t>
      </w:r>
    </w:p>
    <w:p>
      <w:pPr>
        <w:pStyle w:val="ListBullet"/>
        <w:spacing w:after="40"/>
      </w:pPr>
      <w:r>
        <w:t>☐ Each recommendation is linked to a finding or explicitly marked as a proposed future action.</w:t>
      </w:r>
    </w:p>
    <w:p>
      <w:pPr>
        <w:pStyle w:val="ListBullet"/>
        <w:spacing w:after="40"/>
      </w:pPr>
      <w:r>
        <w:t>☐ Limitations and alternative explanations are included.</w:t>
      </w:r>
    </w:p>
    <w:p>
      <w:pPr>
        <w:pStyle w:val="ListBullet"/>
        <w:spacing w:after="40"/>
      </w:pPr>
      <w:r>
        <w:t>☐ Presentation outline and timing are included.</w:t>
      </w:r>
    </w:p>
    <w:p>
      <w:pPr>
        <w:pStyle w:val="ListBullet"/>
        <w:spacing w:after="40"/>
      </w:pPr>
      <w:r>
        <w:t>☐ References and dataset licences are checked.</w:t>
      </w:r>
    </w:p>
    <w:p>
      <w:pPr>
        <w:pStyle w:val="ListBullet"/>
        <w:spacing w:after="40"/>
      </w:pPr>
      <w:r>
        <w:t>☐ Final DOCX is self-contained and formatted for submission.</w:t>
      </w:r>
    </w:p>
    <w:p>
      <w:r>
        <w:t>Document status: This is a reporting and presentation strategy. It includes illustrative scenarios rather than verified empirical findings because no validated analysis outputs were supplied for this task.</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Evaluation, Reporting &amp; Presentation Strategy  •  18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6"/>
      </w:rPr>
      <w:t>YUVA VIRTUAL DATA ANALYSIS INTERNSHIP  |  WEEK 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2A34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007C91"/>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Display" w:hAnsi="Aptos Display"/>
      <w:b/>
      <w:bCs/>
      <w:color w:val="375A7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16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