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before="77"/>
        <w:ind w:left="560" w:right="0" w:firstLine="0"/>
        <w:jc w:val="left"/>
        <w:rPr>
          <w:rFonts w:ascii="Calibri"/>
          <w:i/>
          <w:sz w:val="71"/>
        </w:rPr>
      </w:pPr>
      <w:r>
        <w:rPr/>
        <w:pict>
          <v:group style="position:absolute;margin-left:339.299988pt;margin-top:-92.06665pt;width:169.95pt;height:150.3pt;mso-position-horizontal-relative:page;mso-position-vertical-relative:paragraph;z-index:1048" coordorigin="6786,-1841" coordsize="3399,3006">
            <v:shape style="position:absolute;left:6786;top:-1842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1842;width:3399;height:3006" type="#_x0000_t202" filled="false" stroked="false">
              <v:textbox inset="0,0,0,0">
                <w:txbxContent>
                  <w:p>
                    <w:pPr>
                      <w:spacing w:before="75"/>
                      <w:ind w:left="1730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231F20"/>
                        <w:spacing w:val="-74"/>
                        <w:w w:val="120"/>
                        <w:sz w:val="24"/>
                      </w:rPr>
                      <w:t>C</w:t>
                    </w:r>
                    <w:r>
                      <w:rPr>
                        <w:rFonts w:ascii="Calibri"/>
                        <w:i/>
                        <w:color w:val="6CCFF6"/>
                        <w:spacing w:val="-325"/>
                        <w:w w:val="61"/>
                        <w:position w:val="-42"/>
                        <w:sz w:val="143"/>
                      </w:rPr>
                      <w:t>1</w:t>
                    </w:r>
                    <w:r>
                      <w:rPr>
                        <w:rFonts w:ascii="Arial"/>
                        <w:color w:val="231F20"/>
                        <w:w w:val="122"/>
                        <w:sz w:val="24"/>
                      </w:rPr>
                      <w:t>H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29"/>
                        <w:w w:val="118"/>
                        <w:sz w:val="24"/>
                      </w:rPr>
                      <w:t>A</w:t>
                    </w:r>
                    <w:r>
                      <w:rPr>
                        <w:rFonts w:ascii="Calibri"/>
                        <w:i/>
                        <w:color w:val="6CCFF6"/>
                        <w:spacing w:val="-520"/>
                        <w:w w:val="96"/>
                        <w:position w:val="-42"/>
                        <w:sz w:val="143"/>
                      </w:rPr>
                      <w:t>4</w:t>
                    </w:r>
                    <w:r>
                      <w:rPr>
                        <w:rFonts w:ascii="Arial"/>
                        <w:color w:val="231F20"/>
                        <w:spacing w:val="49"/>
                        <w:w w:val="112"/>
                        <w:sz w:val="24"/>
                      </w:rPr>
                      <w:t>PTE</w:t>
                    </w:r>
                    <w:r>
                      <w:rPr>
                        <w:rFonts w:ascii="Arial"/>
                        <w:color w:val="231F20"/>
                        <w:w w:val="112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i/>
          <w:color w:val="00ADEF"/>
          <w:spacing w:val="15"/>
          <w:sz w:val="71"/>
        </w:rPr>
        <w:t>Protection</w:t>
      </w:r>
    </w:p>
    <w:p>
      <w:pPr>
        <w:pStyle w:val="BodyText"/>
        <w:rPr>
          <w:rFonts w:ascii="Calibri"/>
          <w:i/>
          <w:sz w:val="88"/>
        </w:rPr>
      </w:pPr>
    </w:p>
    <w:p>
      <w:pPr>
        <w:pStyle w:val="BodyText"/>
        <w:spacing w:before="5"/>
        <w:rPr>
          <w:rFonts w:ascii="Calibri"/>
          <w:i/>
          <w:sz w:val="87"/>
        </w:rPr>
      </w:pPr>
    </w:p>
    <w:p>
      <w:pPr>
        <w:spacing w:before="0"/>
        <w:ind w:left="560" w:right="0" w:firstLine="0"/>
        <w:jc w:val="left"/>
        <w:rPr>
          <w:rFonts w:ascii="Arial"/>
          <w:sz w:val="24"/>
        </w:rPr>
      </w:pPr>
      <w:r>
        <w:rPr>
          <w:rFonts w:ascii="Arial"/>
          <w:color w:val="00ADEF"/>
          <w:w w:val="130"/>
          <w:sz w:val="24"/>
        </w:rPr>
        <w:t>Practice</w:t>
      </w:r>
      <w:r>
        <w:rPr>
          <w:rFonts w:ascii="Arial"/>
          <w:color w:val="00ADEF"/>
          <w:spacing w:val="-49"/>
          <w:w w:val="130"/>
          <w:sz w:val="24"/>
        </w:rPr>
        <w:t> </w:t>
      </w:r>
      <w:r>
        <w:rPr>
          <w:rFonts w:ascii="Arial"/>
          <w:color w:val="00ADEF"/>
          <w:w w:val="130"/>
          <w:sz w:val="24"/>
        </w:rPr>
        <w:t>Exercises</w:t>
      </w:r>
    </w:p>
    <w:p>
      <w:pPr>
        <w:pStyle w:val="BodyText"/>
        <w:spacing w:before="11"/>
        <w:rPr>
          <w:rFonts w:ascii="Arial"/>
          <w:sz w:val="34"/>
        </w:rPr>
      </w:pPr>
    </w:p>
    <w:p>
      <w:pPr>
        <w:pStyle w:val="ListParagraph"/>
        <w:numPr>
          <w:ilvl w:val="1"/>
          <w:numId w:val="1"/>
        </w:numPr>
        <w:tabs>
          <w:tab w:pos="1973" w:val="left" w:leader="none"/>
        </w:tabs>
        <w:spacing w:line="220" w:lineRule="auto" w:before="0" w:after="0"/>
        <w:ind w:left="1972" w:right="346" w:hanging="590"/>
        <w:jc w:val="both"/>
        <w:rPr>
          <w:sz w:val="21"/>
        </w:rPr>
      </w:pPr>
      <w:r>
        <w:rPr>
          <w:color w:val="231F20"/>
          <w:sz w:val="21"/>
        </w:rPr>
        <w:t>What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main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differences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between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capability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lists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lists? </w:t>
      </w:r>
      <w:r>
        <w:rPr>
          <w:b/>
          <w:color w:val="231F20"/>
          <w:sz w:val="21"/>
        </w:rPr>
        <w:t>Answer:</w:t>
      </w:r>
      <w:r>
        <w:rPr>
          <w:b/>
          <w:color w:val="231F20"/>
          <w:spacing w:val="51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list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list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object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consisting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domains with a nonempty set of access rights for that object. A capability list is a list of objects and the operations allowed on those objects for each domain.</w:t>
      </w:r>
    </w:p>
    <w:p>
      <w:pPr>
        <w:pStyle w:val="ListParagraph"/>
        <w:numPr>
          <w:ilvl w:val="1"/>
          <w:numId w:val="1"/>
        </w:numPr>
        <w:tabs>
          <w:tab w:pos="1972" w:val="left" w:leader="none"/>
          <w:tab w:pos="1973" w:val="left" w:leader="none"/>
        </w:tabs>
        <w:spacing w:line="220" w:lineRule="auto" w:before="115" w:after="0"/>
        <w:ind w:left="1972" w:right="346" w:hanging="590"/>
        <w:jc w:val="left"/>
        <w:rPr>
          <w:sz w:val="21"/>
        </w:rPr>
      </w:pPr>
      <w:r>
        <w:rPr>
          <w:color w:val="231F20"/>
          <w:sz w:val="21"/>
        </w:rPr>
        <w:t>A Burroughs B7000/B6000 </w:t>
      </w:r>
      <w:r>
        <w:rPr>
          <w:color w:val="231F20"/>
          <w:sz w:val="18"/>
        </w:rPr>
        <w:t>MCP </w:t>
      </w:r>
      <w:r>
        <w:rPr>
          <w:color w:val="231F20"/>
          <w:sz w:val="21"/>
        </w:rPr>
        <w:t>file can be tagged as sensitive data. When such a file is deleted, its storage area is overwritten by some random bits. For what purpose would such a scheme be useful? </w:t>
      </w:r>
      <w:r>
        <w:rPr>
          <w:b/>
          <w:color w:val="231F20"/>
          <w:sz w:val="21"/>
        </w:rPr>
        <w:t>Answer:</w:t>
      </w:r>
      <w:r>
        <w:rPr>
          <w:b/>
          <w:color w:val="231F20"/>
          <w:spacing w:val="23"/>
          <w:sz w:val="21"/>
        </w:rPr>
        <w:t> </w:t>
      </w:r>
      <w:r>
        <w:rPr>
          <w:color w:val="231F20"/>
          <w:sz w:val="21"/>
        </w:rPr>
        <w:t>This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would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useful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extra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security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measure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so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the old content of memory cannot be accessed, either intentionally or by accident, by another program. This is especially useful for any highly classified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1972" w:val="left" w:leader="none"/>
          <w:tab w:pos="1973" w:val="left" w:leader="none"/>
        </w:tabs>
        <w:spacing w:line="218" w:lineRule="auto" w:before="115" w:after="0"/>
        <w:ind w:left="1972" w:right="347" w:hanging="591"/>
        <w:jc w:val="left"/>
        <w:rPr>
          <w:sz w:val="21"/>
        </w:rPr>
      </w:pPr>
      <w:r>
        <w:rPr>
          <w:color w:val="231F20"/>
          <w:sz w:val="21"/>
        </w:rPr>
        <w:t>In a ring-protection system, level 0 has the greatest access to objects, and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level</w:t>
      </w:r>
      <w:r>
        <w:rPr>
          <w:color w:val="231F20"/>
          <w:spacing w:val="-16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i/>
          <w:color w:val="231F20"/>
          <w:spacing w:val="-14"/>
          <w:sz w:val="21"/>
        </w:rPr>
        <w:t> </w:t>
      </w:r>
      <w:r>
        <w:rPr>
          <w:color w:val="231F20"/>
          <w:sz w:val="21"/>
        </w:rPr>
        <w:t>(greater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than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zero)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has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fewer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rights.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rights of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program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at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particular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level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ring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structure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considered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as a set of capabilities. What is the relationship between the capabilities of a domain at level </w:t>
      </w:r>
      <w:r>
        <w:rPr>
          <w:i/>
          <w:color w:val="231F20"/>
          <w:sz w:val="21"/>
        </w:rPr>
        <w:t>j </w:t>
      </w:r>
      <w:r>
        <w:rPr>
          <w:color w:val="231F20"/>
          <w:sz w:val="21"/>
        </w:rPr>
        <w:t>and a domain at level </w:t>
      </w:r>
      <w:r>
        <w:rPr>
          <w:i/>
          <w:color w:val="231F20"/>
          <w:sz w:val="21"/>
        </w:rPr>
        <w:t>i </w:t>
      </w:r>
      <w:r>
        <w:rPr>
          <w:color w:val="231F20"/>
          <w:sz w:val="21"/>
        </w:rPr>
        <w:t>to an object (for </w:t>
      </w:r>
      <w:r>
        <w:rPr>
          <w:i/>
          <w:color w:val="231F20"/>
          <w:sz w:val="21"/>
        </w:rPr>
        <w:t>j </w:t>
      </w:r>
      <w:r>
        <w:rPr>
          <w:rFonts w:ascii="Verdana"/>
          <w:i/>
          <w:color w:val="231F20"/>
          <w:sz w:val="21"/>
        </w:rPr>
        <w:t>&gt; </w:t>
      </w:r>
      <w:r>
        <w:rPr>
          <w:i/>
          <w:color w:val="231F20"/>
          <w:sz w:val="21"/>
        </w:rPr>
        <w:t>i</w:t>
      </w:r>
      <w:r>
        <w:rPr>
          <w:color w:val="231F20"/>
          <w:sz w:val="21"/>
        </w:rPr>
        <w:t>)? </w:t>
      </w:r>
      <w:r>
        <w:rPr>
          <w:b/>
          <w:color w:val="231F20"/>
          <w:sz w:val="21"/>
        </w:rPr>
        <w:t>Answer: </w:t>
      </w:r>
      <w:r>
        <w:rPr>
          <w:i/>
          <w:color w:val="231F20"/>
          <w:spacing w:val="6"/>
          <w:sz w:val="21"/>
        </w:rPr>
        <w:t>D</w:t>
      </w:r>
      <w:r>
        <w:rPr>
          <w:i/>
          <w:color w:val="231F20"/>
          <w:spacing w:val="6"/>
          <w:sz w:val="21"/>
          <w:vertAlign w:val="subscript"/>
        </w:rPr>
        <w:t>j</w:t>
      </w:r>
      <w:r>
        <w:rPr>
          <w:i/>
          <w:color w:val="231F20"/>
          <w:spacing w:val="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a subset of </w:t>
      </w:r>
      <w:r>
        <w:rPr>
          <w:i/>
          <w:color w:val="231F20"/>
          <w:spacing w:val="-7"/>
          <w:sz w:val="21"/>
          <w:vertAlign w:val="baseline"/>
        </w:rPr>
        <w:t>D</w:t>
      </w:r>
      <w:r>
        <w:rPr>
          <w:i/>
          <w:color w:val="231F20"/>
          <w:spacing w:val="-7"/>
          <w:sz w:val="21"/>
          <w:vertAlign w:val="subscript"/>
        </w:rPr>
        <w:t>i</w:t>
      </w:r>
      <w:r>
        <w:rPr>
          <w:i/>
          <w:color w:val="231F20"/>
          <w:spacing w:val="-4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973" w:val="left" w:leader="none"/>
        </w:tabs>
        <w:spacing w:line="220" w:lineRule="auto" w:before="118" w:after="0"/>
        <w:ind w:left="1972" w:right="340" w:hanging="590"/>
        <w:jc w:val="both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18"/>
        </w:rPr>
        <w:t>RC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4000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21"/>
        </w:rPr>
        <w:t>system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(and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other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systems)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have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defined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tree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processes (called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25"/>
          <w:sz w:val="21"/>
        </w:rPr>
        <w:t> </w:t>
      </w:r>
      <w:r>
        <w:rPr>
          <w:color w:val="231F20"/>
          <w:sz w:val="21"/>
        </w:rPr>
        <w:t>process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tree)</w:t>
      </w:r>
      <w:r>
        <w:rPr>
          <w:color w:val="231F20"/>
          <w:spacing w:val="-25"/>
          <w:sz w:val="21"/>
        </w:rPr>
        <w:t> </w:t>
      </w:r>
      <w:r>
        <w:rPr>
          <w:color w:val="231F20"/>
          <w:sz w:val="21"/>
        </w:rPr>
        <w:t>such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all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descendants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25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process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given resources (objects) and access rights by their ancestors </w:t>
      </w:r>
      <w:r>
        <w:rPr>
          <w:color w:val="231F20"/>
          <w:spacing w:val="-6"/>
          <w:sz w:val="21"/>
        </w:rPr>
        <w:t>only. </w:t>
      </w:r>
      <w:r>
        <w:rPr>
          <w:color w:val="231F20"/>
          <w:sz w:val="21"/>
        </w:rPr>
        <w:t>Thus, a descendant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can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never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have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ability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do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anything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its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ancestors cannot do. The root of the tree is the operating system, which has the ability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do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anything.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Assume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set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rights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was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represented by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7"/>
          <w:sz w:val="21"/>
        </w:rPr>
        <w:t> </w:t>
      </w:r>
      <w:r>
        <w:rPr>
          <w:color w:val="231F20"/>
          <w:sz w:val="21"/>
        </w:rPr>
        <w:t>matrix,</w:t>
      </w:r>
      <w:r>
        <w:rPr>
          <w:color w:val="231F20"/>
          <w:spacing w:val="4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color w:val="231F20"/>
          <w:sz w:val="21"/>
        </w:rPr>
        <w:t>.</w:t>
      </w:r>
      <w:r>
        <w:rPr>
          <w:color w:val="231F20"/>
          <w:spacing w:val="5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x</w:t>
      </w:r>
      <w:r>
        <w:rPr>
          <w:color w:val="231F20"/>
          <w:sz w:val="21"/>
        </w:rPr>
        <w:t>,</w:t>
      </w:r>
      <w:r>
        <w:rPr>
          <w:i/>
          <w:color w:val="231F20"/>
          <w:sz w:val="21"/>
        </w:rPr>
        <w:t>y</w:t>
      </w:r>
      <w:r>
        <w:rPr>
          <w:color w:val="231F20"/>
          <w:sz w:val="21"/>
        </w:rPr>
        <w:t>)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defines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rights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process</w:t>
      </w:r>
      <w:r>
        <w:rPr>
          <w:color w:val="231F20"/>
          <w:spacing w:val="4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5"/>
          <w:sz w:val="21"/>
        </w:rPr>
        <w:t> </w:t>
      </w:r>
      <w:r>
        <w:rPr>
          <w:color w:val="231F20"/>
          <w:sz w:val="21"/>
        </w:rPr>
        <w:t>to</w:t>
      </w:r>
    </w:p>
    <w:p>
      <w:pPr>
        <w:spacing w:before="134"/>
        <w:ind w:left="0" w:right="349" w:firstLine="0"/>
        <w:jc w:val="right"/>
        <w:rPr>
          <w:b/>
          <w:sz w:val="18"/>
        </w:rPr>
      </w:pPr>
      <w:r>
        <w:rPr>
          <w:b/>
          <w:color w:val="231F20"/>
          <w:w w:val="95"/>
          <w:sz w:val="18"/>
        </w:rPr>
        <w:t>55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067" w:val="left" w:leader="none"/>
        </w:tabs>
        <w:spacing w:before="80"/>
        <w:ind w:left="350" w:right="0" w:firstLine="0"/>
        <w:jc w:val="left"/>
        <w:rPr>
          <w:b/>
          <w:sz w:val="20"/>
        </w:rPr>
      </w:pPr>
      <w:r>
        <w:rPr>
          <w:b/>
          <w:sz w:val="18"/>
        </w:rPr>
        <w:t>56</w:t>
        <w:tab/>
      </w:r>
      <w:r>
        <w:rPr>
          <w:b/>
          <w:sz w:val="20"/>
        </w:rPr>
        <w:t>Chapter 14</w:t>
      </w:r>
      <w:r>
        <w:rPr>
          <w:b/>
          <w:spacing w:val="47"/>
          <w:sz w:val="20"/>
        </w:rPr>
        <w:t> </w:t>
      </w:r>
      <w:r>
        <w:rPr>
          <w:b/>
          <w:color w:val="00ADEF"/>
          <w:sz w:val="20"/>
        </w:rPr>
        <w:t>Protection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20" w:lineRule="auto"/>
        <w:ind w:left="1763" w:right="556" w:hanging="1"/>
      </w:pPr>
      <w:r>
        <w:rPr>
          <w:color w:val="231F20"/>
        </w:rPr>
        <w:t>object</w:t>
      </w:r>
      <w:r>
        <w:rPr>
          <w:color w:val="231F20"/>
          <w:spacing w:val="-17"/>
        </w:rPr>
        <w:t> </w:t>
      </w:r>
      <w:r>
        <w:rPr>
          <w:i/>
          <w:color w:val="231F20"/>
        </w:rPr>
        <w:t>y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If</w:t>
      </w:r>
      <w:r>
        <w:rPr>
          <w:color w:val="231F20"/>
          <w:spacing w:val="-16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-18"/>
        </w:rPr>
        <w:t> </w:t>
      </w:r>
      <w:r>
        <w:rPr>
          <w:color w:val="231F20"/>
        </w:rPr>
        <w:t>is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descendant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i/>
          <w:color w:val="231F20"/>
        </w:rPr>
        <w:t>z</w:t>
      </w:r>
      <w:r>
        <w:rPr>
          <w:color w:val="231F20"/>
        </w:rPr>
        <w:t>,</w:t>
      </w:r>
      <w:r>
        <w:rPr>
          <w:color w:val="231F20"/>
          <w:spacing w:val="-17"/>
        </w:rPr>
        <w:t> </w:t>
      </w:r>
      <w:r>
        <w:rPr>
          <w:color w:val="231F20"/>
        </w:rPr>
        <w:t>what</w:t>
      </w:r>
      <w:r>
        <w:rPr>
          <w:color w:val="231F20"/>
          <w:spacing w:val="-16"/>
        </w:rPr>
        <w:t> </w:t>
      </w:r>
      <w:r>
        <w:rPr>
          <w:color w:val="231F20"/>
        </w:rPr>
        <w:t>is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relationship</w:t>
      </w:r>
      <w:r>
        <w:rPr>
          <w:color w:val="231F20"/>
          <w:spacing w:val="-18"/>
        </w:rPr>
        <w:t> </w:t>
      </w:r>
      <w:r>
        <w:rPr>
          <w:color w:val="231F20"/>
        </w:rPr>
        <w:t>between</w:t>
      </w:r>
      <w:r>
        <w:rPr>
          <w:color w:val="231F20"/>
          <w:spacing w:val="-18"/>
        </w:rPr>
        <w:t> </w:t>
      </w:r>
      <w:r>
        <w:rPr>
          <w:i/>
          <w:color w:val="231F20"/>
        </w:rPr>
        <w:t>A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,</w:t>
      </w:r>
      <w:r>
        <w:rPr>
          <w:i/>
          <w:color w:val="231F20"/>
        </w:rPr>
        <w:t>y</w:t>
      </w:r>
      <w:r>
        <w:rPr>
          <w:color w:val="231F20"/>
        </w:rPr>
        <w:t>) and </w:t>
      </w:r>
      <w:r>
        <w:rPr>
          <w:i/>
          <w:color w:val="231F20"/>
        </w:rPr>
        <w:t>A</w:t>
      </w:r>
      <w:r>
        <w:rPr>
          <w:color w:val="231F20"/>
        </w:rPr>
        <w:t>(</w:t>
      </w:r>
      <w:r>
        <w:rPr>
          <w:i/>
          <w:color w:val="231F20"/>
        </w:rPr>
        <w:t>z</w:t>
      </w:r>
      <w:r>
        <w:rPr>
          <w:color w:val="231F20"/>
        </w:rPr>
        <w:t>,</w:t>
      </w:r>
      <w:r>
        <w:rPr>
          <w:i/>
          <w:color w:val="231F20"/>
        </w:rPr>
        <w:t>y</w:t>
      </w:r>
      <w:r>
        <w:rPr>
          <w:color w:val="231F20"/>
        </w:rPr>
        <w:t>) for an arbitrary object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y</w:t>
      </w:r>
      <w:r>
        <w:rPr>
          <w:color w:val="231F20"/>
        </w:rPr>
        <w:t>?</w:t>
      </w:r>
    </w:p>
    <w:p>
      <w:pPr>
        <w:spacing w:line="243" w:lineRule="exact" w:before="0"/>
        <w:ind w:left="1763" w:right="0" w:firstLine="0"/>
        <w:jc w:val="left"/>
        <w:rPr>
          <w:sz w:val="21"/>
        </w:rPr>
      </w:pPr>
      <w:r>
        <w:rPr>
          <w:b/>
          <w:color w:val="231F20"/>
          <w:sz w:val="21"/>
        </w:rPr>
        <w:t>Answer: </w:t>
      </w:r>
      <w:r>
        <w:rPr>
          <w:i/>
          <w:color w:val="231F20"/>
          <w:sz w:val="21"/>
        </w:rPr>
        <w:t>A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x,y</w:t>
      </w:r>
      <w:r>
        <w:rPr>
          <w:color w:val="231F20"/>
          <w:sz w:val="21"/>
        </w:rPr>
        <w:t>) is a subset of </w:t>
      </w:r>
      <w:r>
        <w:rPr>
          <w:i/>
          <w:color w:val="231F20"/>
          <w:sz w:val="21"/>
        </w:rPr>
        <w:t>A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z,y</w:t>
      </w:r>
      <w:r>
        <w:rPr>
          <w:color w:val="231F20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20" w:lineRule="auto" w:before="112" w:after="0"/>
        <w:ind w:left="1763" w:right="556" w:hanging="591"/>
        <w:jc w:val="both"/>
        <w:rPr>
          <w:sz w:val="21"/>
        </w:rPr>
      </w:pPr>
      <w:r>
        <w:rPr>
          <w:color w:val="231F20"/>
          <w:sz w:val="21"/>
        </w:rPr>
        <w:t>What protection problems may arise if a shared stack is used for pa- rameter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passing?</w:t>
      </w:r>
    </w:p>
    <w:p>
      <w:pPr>
        <w:pStyle w:val="BodyText"/>
        <w:tabs>
          <w:tab w:pos="2778" w:val="left" w:leader="none"/>
        </w:tabs>
        <w:spacing w:line="220" w:lineRule="auto"/>
        <w:ind w:left="1763" w:right="556"/>
      </w:pPr>
      <w:r>
        <w:rPr>
          <w:b/>
          <w:color w:val="231F20"/>
        </w:rPr>
        <w:t>Answer:</w:t>
        <w:tab/>
      </w:r>
      <w:r>
        <w:rPr>
          <w:color w:val="231F20"/>
        </w:rPr>
        <w:t>The contents of the stack could be compromised by other process(es) sharing the</w:t>
      </w:r>
      <w:r>
        <w:rPr>
          <w:color w:val="231F20"/>
          <w:spacing w:val="-5"/>
        </w:rPr>
        <w:t> </w:t>
      </w:r>
      <w:r>
        <w:rPr>
          <w:color w:val="231F20"/>
        </w:rPr>
        <w:t>stack.</w:t>
      </w: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18" w:lineRule="auto" w:before="119" w:after="0"/>
        <w:ind w:left="1763" w:right="557" w:hanging="591"/>
        <w:jc w:val="both"/>
        <w:rPr>
          <w:sz w:val="21"/>
        </w:rPr>
      </w:pPr>
      <w:r>
        <w:rPr>
          <w:color w:val="231F20"/>
          <w:sz w:val="21"/>
        </w:rPr>
        <w:t>Consider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computing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environment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where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unique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number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associ- ated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process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object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system.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Suppose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we allow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process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number</w:t>
      </w:r>
      <w:r>
        <w:rPr>
          <w:color w:val="231F20"/>
          <w:spacing w:val="-7"/>
          <w:sz w:val="21"/>
        </w:rPr>
        <w:t> </w:t>
      </w:r>
      <w:r>
        <w:rPr>
          <w:i/>
          <w:color w:val="231F20"/>
          <w:sz w:val="21"/>
        </w:rPr>
        <w:t>n</w:t>
      </w:r>
      <w:r>
        <w:rPr>
          <w:i/>
          <w:color w:val="231F20"/>
          <w:spacing w:val="-7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access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object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number</w:t>
      </w:r>
      <w:r>
        <w:rPr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m</w:t>
      </w:r>
      <w:r>
        <w:rPr>
          <w:i/>
          <w:color w:val="231F20"/>
          <w:spacing w:val="-7"/>
          <w:sz w:val="21"/>
        </w:rPr>
        <w:t> </w:t>
      </w:r>
      <w:r>
        <w:rPr>
          <w:color w:val="231F20"/>
          <w:sz w:val="21"/>
        </w:rPr>
        <w:t>only if </w:t>
      </w:r>
      <w:r>
        <w:rPr>
          <w:i/>
          <w:color w:val="231F20"/>
          <w:sz w:val="21"/>
        </w:rPr>
        <w:t>n </w:t>
      </w:r>
      <w:r>
        <w:rPr>
          <w:rFonts w:ascii="Verdana"/>
          <w:i/>
          <w:color w:val="231F20"/>
          <w:sz w:val="21"/>
        </w:rPr>
        <w:t>&gt;</w:t>
      </w:r>
      <w:r>
        <w:rPr>
          <w:rFonts w:ascii="Verdana"/>
          <w:i/>
          <w:color w:val="231F20"/>
          <w:spacing w:val="-43"/>
          <w:sz w:val="21"/>
        </w:rPr>
        <w:t> </w:t>
      </w:r>
      <w:r>
        <w:rPr>
          <w:i/>
          <w:color w:val="231F20"/>
          <w:sz w:val="21"/>
        </w:rPr>
        <w:t>m</w:t>
      </w:r>
      <w:r>
        <w:rPr>
          <w:color w:val="231F20"/>
          <w:sz w:val="21"/>
        </w:rPr>
        <w:t>. What type of protection structure do we have?</w:t>
      </w:r>
    </w:p>
    <w:p>
      <w:pPr>
        <w:spacing w:line="240" w:lineRule="exact" w:before="0"/>
        <w:ind w:left="1763" w:right="0" w:firstLine="0"/>
        <w:jc w:val="left"/>
        <w:rPr>
          <w:sz w:val="21"/>
        </w:rPr>
      </w:pPr>
      <w:r>
        <w:rPr>
          <w:b/>
          <w:color w:val="231F20"/>
          <w:sz w:val="21"/>
        </w:rPr>
        <w:t>Answer: </w:t>
      </w:r>
      <w:r>
        <w:rPr>
          <w:color w:val="231F20"/>
          <w:sz w:val="21"/>
        </w:rPr>
        <w:t>Hierarchical structure.</w:t>
      </w: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20" w:lineRule="auto" w:before="114" w:after="0"/>
        <w:ind w:left="1763" w:right="555" w:hanging="591"/>
        <w:jc w:val="both"/>
        <w:rPr>
          <w:sz w:val="21"/>
        </w:rPr>
      </w:pPr>
      <w:r>
        <w:rPr>
          <w:color w:val="231F20"/>
          <w:sz w:val="21"/>
        </w:rPr>
        <w:t>Consider a computing environment where a process is given the</w:t>
      </w:r>
      <w:r>
        <w:rPr>
          <w:color w:val="231F20"/>
          <w:spacing w:val="-36"/>
          <w:sz w:val="21"/>
        </w:rPr>
        <w:t> </w:t>
      </w:r>
      <w:r>
        <w:rPr>
          <w:color w:val="231F20"/>
          <w:sz w:val="21"/>
        </w:rPr>
        <w:t>priv- ilege of accessing an object only </w:t>
      </w:r>
      <w:r>
        <w:rPr>
          <w:i/>
          <w:color w:val="231F20"/>
          <w:sz w:val="21"/>
        </w:rPr>
        <w:t>n </w:t>
      </w:r>
      <w:r>
        <w:rPr>
          <w:color w:val="231F20"/>
          <w:sz w:val="21"/>
        </w:rPr>
        <w:t>times. Suggest a scheme for imple- menting this</w:t>
      </w:r>
      <w:r>
        <w:rPr>
          <w:color w:val="231F20"/>
          <w:spacing w:val="-2"/>
          <w:sz w:val="21"/>
        </w:rPr>
        <w:t> </w:t>
      </w:r>
      <w:r>
        <w:rPr>
          <w:color w:val="231F20"/>
          <w:spacing w:val="-4"/>
          <w:sz w:val="21"/>
        </w:rPr>
        <w:t>policy.</w:t>
      </w:r>
    </w:p>
    <w:p>
      <w:pPr>
        <w:pStyle w:val="BodyText"/>
        <w:spacing w:line="242" w:lineRule="exact"/>
        <w:ind w:left="1763"/>
      </w:pPr>
      <w:r>
        <w:rPr>
          <w:b/>
          <w:color w:val="231F20"/>
        </w:rPr>
        <w:t>Answer: </w:t>
      </w:r>
      <w:r>
        <w:rPr>
          <w:color w:val="231F20"/>
        </w:rPr>
        <w:t>Add an integer counter with the capability.</w:t>
      </w: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20" w:lineRule="auto" w:before="114" w:after="0"/>
        <w:ind w:left="1763" w:right="556" w:hanging="591"/>
        <w:jc w:val="both"/>
        <w:rPr>
          <w:sz w:val="21"/>
        </w:rPr>
      </w:pPr>
      <w:r>
        <w:rPr>
          <w:color w:val="231F20"/>
          <w:sz w:val="21"/>
        </w:rPr>
        <w:t>If all the access rights to an object are deleted, the object can no longer be accessed. At this point, the object should also be deleted, and the space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occupies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should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returned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system.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Suggest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efficient implementation of this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scheme.</w:t>
      </w:r>
    </w:p>
    <w:p>
      <w:pPr>
        <w:spacing w:line="241" w:lineRule="exact" w:before="0"/>
        <w:ind w:left="1763" w:right="0" w:firstLine="0"/>
        <w:jc w:val="left"/>
        <w:rPr>
          <w:sz w:val="21"/>
        </w:rPr>
      </w:pPr>
      <w:r>
        <w:rPr>
          <w:b/>
          <w:color w:val="231F20"/>
          <w:sz w:val="21"/>
        </w:rPr>
        <w:t>Answer: </w:t>
      </w:r>
      <w:r>
        <w:rPr>
          <w:color w:val="231F20"/>
          <w:sz w:val="21"/>
        </w:rPr>
        <w:t>Reference counts.</w:t>
      </w: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20" w:lineRule="auto" w:before="112" w:after="0"/>
        <w:ind w:left="1763" w:right="555" w:hanging="591"/>
        <w:jc w:val="both"/>
        <w:rPr>
          <w:sz w:val="21"/>
        </w:rPr>
      </w:pPr>
      <w:r>
        <w:rPr>
          <w:color w:val="231F20"/>
          <w:sz w:val="21"/>
        </w:rPr>
        <w:t>Why is it difficult to protect a system in which users are allowed to</w:t>
      </w:r>
      <w:r>
        <w:rPr>
          <w:color w:val="231F20"/>
          <w:spacing w:val="-36"/>
          <w:sz w:val="21"/>
        </w:rPr>
        <w:t> </w:t>
      </w:r>
      <w:r>
        <w:rPr>
          <w:color w:val="231F20"/>
          <w:sz w:val="21"/>
        </w:rPr>
        <w:t>do their own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18"/>
        </w:rPr>
        <w:t>I/O</w:t>
      </w:r>
      <w:r>
        <w:rPr>
          <w:color w:val="231F20"/>
          <w:sz w:val="21"/>
        </w:rPr>
        <w:t>?</w:t>
      </w:r>
    </w:p>
    <w:p>
      <w:pPr>
        <w:pStyle w:val="BodyText"/>
        <w:spacing w:line="220" w:lineRule="auto"/>
        <w:ind w:left="1763" w:right="552"/>
        <w:jc w:val="both"/>
      </w:pPr>
      <w:r>
        <w:rPr>
          <w:b/>
          <w:color w:val="231F20"/>
        </w:rPr>
        <w:t>Answer:</w:t>
      </w:r>
      <w:r>
        <w:rPr>
          <w:b/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earlier</w:t>
      </w:r>
      <w:r>
        <w:rPr>
          <w:color w:val="231F20"/>
          <w:spacing w:val="-14"/>
        </w:rPr>
        <w:t> </w:t>
      </w:r>
      <w:r>
        <w:rPr>
          <w:color w:val="231F20"/>
        </w:rPr>
        <w:t>chapters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identified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distinction</w:t>
      </w:r>
      <w:r>
        <w:rPr>
          <w:color w:val="231F20"/>
          <w:spacing w:val="-12"/>
        </w:rPr>
        <w:t> </w:t>
      </w:r>
      <w:r>
        <w:rPr>
          <w:color w:val="231F20"/>
        </w:rPr>
        <w:t>between</w:t>
      </w:r>
      <w:r>
        <w:rPr>
          <w:color w:val="231F20"/>
          <w:spacing w:val="-13"/>
        </w:rPr>
        <w:t> </w:t>
      </w:r>
      <w:r>
        <w:rPr>
          <w:color w:val="231F20"/>
        </w:rPr>
        <w:t>kernel and user mode where kernel mode is used for carrying out privileged operations such as </w:t>
      </w:r>
      <w:r>
        <w:rPr>
          <w:color w:val="231F20"/>
          <w:sz w:val="18"/>
        </w:rPr>
        <w:t>I/O</w:t>
      </w:r>
      <w:r>
        <w:rPr>
          <w:color w:val="231F20"/>
        </w:rPr>
        <w:t>. One reason why </w:t>
      </w:r>
      <w:r>
        <w:rPr>
          <w:color w:val="231F20"/>
          <w:sz w:val="18"/>
        </w:rPr>
        <w:t>I/O </w:t>
      </w:r>
      <w:r>
        <w:rPr>
          <w:color w:val="231F20"/>
        </w:rPr>
        <w:t>must be performed in kernel mode is that </w:t>
      </w:r>
      <w:r>
        <w:rPr>
          <w:color w:val="231F20"/>
          <w:sz w:val="18"/>
        </w:rPr>
        <w:t>I/O </w:t>
      </w:r>
      <w:r>
        <w:rPr>
          <w:color w:val="231F20"/>
        </w:rPr>
        <w:t>requires accessing the hardware and proper access to the hardware is necessary for system </w:t>
      </w:r>
      <w:r>
        <w:rPr>
          <w:color w:val="231F20"/>
          <w:spacing w:val="-3"/>
        </w:rPr>
        <w:t>integrity. </w:t>
      </w:r>
      <w:r>
        <w:rPr>
          <w:color w:val="231F20"/>
        </w:rPr>
        <w:t>If we allow users to perform their own </w:t>
      </w:r>
      <w:r>
        <w:rPr>
          <w:color w:val="231F20"/>
          <w:sz w:val="18"/>
        </w:rPr>
        <w:t>I/O</w:t>
      </w:r>
      <w:r>
        <w:rPr>
          <w:color w:val="231F20"/>
        </w:rPr>
        <w:t>, we cannot guarantee system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integrity.</w:t>
      </w: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20" w:lineRule="auto" w:before="112" w:after="0"/>
        <w:ind w:left="1763" w:right="557" w:hanging="696"/>
        <w:jc w:val="both"/>
        <w:rPr>
          <w:sz w:val="21"/>
        </w:rPr>
      </w:pPr>
      <w:r>
        <w:rPr>
          <w:color w:val="231F20"/>
          <w:sz w:val="21"/>
        </w:rPr>
        <w:t>Capability lists are usually kept within the address space of the </w:t>
      </w:r>
      <w:r>
        <w:rPr>
          <w:color w:val="231F20"/>
          <w:spacing w:val="-4"/>
          <w:sz w:val="21"/>
        </w:rPr>
        <w:t>user. </w:t>
      </w:r>
      <w:r>
        <w:rPr>
          <w:color w:val="231F20"/>
          <w:sz w:val="21"/>
        </w:rPr>
        <w:t>How does the system ensure that the user cannot modify the contents of the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list?</w:t>
      </w:r>
    </w:p>
    <w:p>
      <w:pPr>
        <w:pStyle w:val="BodyText"/>
        <w:spacing w:line="220" w:lineRule="auto"/>
        <w:ind w:left="1763" w:right="556" w:hanging="1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A capability list is considered a </w:t>
      </w:r>
      <w:r>
        <w:rPr>
          <w:rFonts w:ascii="Times New Roman" w:hAnsi="Times New Roman"/>
          <w:color w:val="231F20"/>
        </w:rPr>
        <w:t>“</w:t>
      </w:r>
      <w:r>
        <w:rPr>
          <w:color w:val="231F20"/>
        </w:rPr>
        <w:t>protected object</w:t>
      </w:r>
      <w:r>
        <w:rPr>
          <w:rFonts w:ascii="Times New Roman" w:hAnsi="Times New Roman"/>
          <w:color w:val="231F20"/>
        </w:rPr>
        <w:t>” </w:t>
      </w:r>
      <w:r>
        <w:rPr>
          <w:color w:val="231F20"/>
        </w:rPr>
        <w:t>and is accessed only indirectly by the </w:t>
      </w:r>
      <w:r>
        <w:rPr>
          <w:color w:val="231F20"/>
          <w:spacing w:val="-4"/>
        </w:rPr>
        <w:t>user. </w:t>
      </w:r>
      <w:r>
        <w:rPr>
          <w:color w:val="231F20"/>
        </w:rPr>
        <w:t>The operating system ensures</w:t>
      </w:r>
      <w:r>
        <w:rPr>
          <w:color w:val="231F20"/>
          <w:spacing w:val="-20"/>
        </w:rPr>
        <w:t> </w:t>
      </w:r>
      <w:r>
        <w:rPr>
          <w:color w:val="231F20"/>
        </w:rPr>
        <w:t>the user cannot access the capability list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directly.</w:t>
      </w:r>
    </w:p>
    <w:sectPr>
      <w:pgSz w:w="12240" w:h="15840"/>
      <w:pgMar w:top="13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4"/>
      <w:numFmt w:val="decimal"/>
      <w:lvlText w:val="%1"/>
      <w:lvlJc w:val="left"/>
      <w:pPr>
        <w:ind w:left="1972" w:hanging="59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972" w:hanging="591"/>
        <w:jc w:val="right"/>
      </w:pPr>
      <w:rPr>
        <w:rFonts w:hint="default" w:ascii="Book Antiqua" w:hAnsi="Book Antiqua" w:eastAsia="Book Antiqua" w:cs="Book Antiqua"/>
        <w:b/>
        <w:bCs/>
        <w:color w:val="231F20"/>
        <w:w w:val="99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44" w:hanging="59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6" w:hanging="59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08" w:hanging="59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90" w:hanging="59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2" w:hanging="59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4" w:hanging="59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36" w:hanging="59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2"/>
      <w:ind w:left="1763" w:right="346" w:hanging="591"/>
      <w:jc w:val="both"/>
    </w:pPr>
    <w:rPr>
      <w:rFonts w:ascii="Book Antiqua" w:hAnsi="Book Antiqua" w:eastAsia="Book Antiqua" w:cs="Book Antiqu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2020-03-20T07:51:55Z</dcterms:created>
  <dcterms:modified xsi:type="dcterms:W3CDTF">2020-03-20T07:51:55Z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