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58"/>
        <w:gridCol w:w="4658"/>
      </w:tblGrid>
      <w:tr>
        <w:tc>
          <w:tcPr>
            <w:tcW w:type="dxa" w:w="1224"/>
          </w:tcPr>
          <w:p>
            <w:pPr>
              <w:spacing w:after="0"/>
            </w:pPr>
            <w:r/>
            <w:r>
              <w:drawing>
                <wp:inline xmlns:a="http://schemas.openxmlformats.org/drawingml/2006/main" xmlns:pic="http://schemas.openxmlformats.org/drawingml/2006/picture">
                  <wp:extent cx="548640" cy="548640"/>
                  <wp:docPr id="1" name="Picture 1"/>
                  <wp:cNvGraphicFramePr>
                    <a:graphicFrameLocks noChangeAspect="1"/>
                  </wp:cNvGraphicFramePr>
                  <a:graphic>
                    <a:graphicData uri="http://schemas.openxmlformats.org/drawingml/2006/picture">
                      <pic:pic>
                        <pic:nvPicPr>
                          <pic:cNvPr id="0" name="yiy-mark-black-512.png"/>
                          <pic:cNvPicPr/>
                        </pic:nvPicPr>
                        <pic:blipFill>
                          <a:blip r:embed="rId9"/>
                          <a:stretch>
                            <a:fillRect/>
                          </a:stretch>
                        </pic:blipFill>
                        <pic:spPr>
                          <a:xfrm>
                            <a:off x="0" y="0"/>
                            <a:ext cx="548640" cy="548640"/>
                          </a:xfrm>
                          <a:prstGeom prst="rect"/>
                        </pic:spPr>
                      </pic:pic>
                    </a:graphicData>
                  </a:graphic>
                </wp:inline>
              </w:drawing>
            </w:r>
          </w:p>
        </w:tc>
        <w:tc>
          <w:tcPr>
            <w:tcW w:type="dxa" w:w="8064"/>
          </w:tcPr>
          <w:p>
            <w:pPr>
              <w:spacing w:after="0"/>
            </w:pPr>
            <w:r/>
            <w:r>
              <w:rPr>
                <w:rFonts w:ascii="Calibri" w:hAnsi="Calibri"/>
                <w:b/>
                <w:sz w:val="26"/>
                <w:spacing w:val="32"/>
              </w:rPr>
              <w:t>YiY  TECH</w:t>
            </w:r>
          </w:p>
          <w:p>
            <w:pPr>
              <w:spacing w:before="0" w:after="0"/>
            </w:pPr>
            <w:r>
              <w:rPr>
                <w:rFonts w:ascii="Calibri" w:hAnsi="Calibri"/>
                <w:color w:val="8A8F98"/>
                <w:sz w:val="16"/>
              </w:rPr>
              <w:t>Founders' Agreement  ·  pre-incorporation  ·  Malaysia</w:t>
            </w:r>
          </w:p>
        </w:tc>
      </w:tr>
    </w:tbl>
    <w:p>
      <w:pPr>
        <w:spacing w:before="80" w:after="200"/>
        <w:pBdr>
          <w:top w:val="single" w:sz="10" w:space="2" w:color="1B4DE4"/>
        </w:pBdr>
      </w:pPr>
    </w:p>
    <w:p>
      <w:pPr>
        <w:spacing w:after="40" w:before="0"/>
      </w:pPr>
      <w:r>
        <w:rPr>
          <w:rFonts w:ascii="Calibri" w:hAnsi="Calibri"/>
          <w:b/>
          <w:i w:val="0"/>
          <w:color w:val="0B0B0C"/>
          <w:sz w:val="38"/>
        </w:rPr>
        <w:t>FOUNDERS' AGREEMENT</w:t>
      </w:r>
    </w:p>
    <w:p>
      <w:pPr>
        <w:spacing w:after="240" w:before="0"/>
      </w:pPr>
      <w:r>
        <w:rPr>
          <w:rFonts w:ascii="Cambria" w:hAnsi="Cambria"/>
          <w:b w:val="0"/>
          <w:i/>
          <w:color w:val="5B5F66"/>
          <w:sz w:val="20"/>
        </w:rPr>
        <w:t>YiY Tech Sdn. Bhd. (in incorporation)  ·  dated ____ / ____ / 20____</w:t>
      </w:r>
    </w:p>
    <w:p>
      <w:pPr>
        <w:spacing w:after="100" w:before="0"/>
      </w:pPr>
      <w:r>
        <w:rPr>
          <w:rFonts w:ascii="Calibri" w:hAnsi="Calibri"/>
          <w:b/>
          <w:i w:val="0"/>
          <w:color w:val="8A8F98"/>
          <w:sz w:val="17"/>
          <w:spacing w:val="32"/>
        </w:rPr>
        <w:t>PARTIES</w:t>
      </w:r>
    </w:p>
    <w:tbl>
      <w:tblPr>
        <w:tblStyle w:val="TableGrid"/>
        <w:tblW w:type="auto" w:w="0"/>
        <w:jc w:val="center"/>
        <w:tblLook w:firstColumn="1" w:firstRow="1" w:lastColumn="0" w:lastRow="0" w:noHBand="0" w:noVBand="1" w:val="04A0"/>
      </w:tblPr>
      <w:tblGrid>
        <w:gridCol w:w="3106"/>
        <w:gridCol w:w="3106"/>
        <w:gridCol w:w="3106"/>
      </w:tblGrid>
      <w:tr>
        <w:tc>
          <w:tcPr>
            <w:tcW w:type="dxa" w:w="2520"/>
            <w:shd w:val="clear" w:color="auto" w:fill="0B0B0C"/>
          </w:tcPr>
          <w:p>
            <w:pPr>
              <w:spacing w:before="40" w:after="40"/>
              <w:jc w:val="center"/>
            </w:pPr>
            <w:r/>
            <w:r>
              <w:rPr>
                <w:rFonts w:ascii="Calibri" w:hAnsi="Calibri"/>
                <w:b/>
                <w:color w:val="FFFFFF"/>
                <w:sz w:val="17"/>
              </w:rPr>
              <w:t>Founder</w:t>
            </w:r>
          </w:p>
        </w:tc>
        <w:tc>
          <w:tcPr>
            <w:tcW w:type="dxa" w:w="2088"/>
            <w:shd w:val="clear" w:color="auto" w:fill="0B0B0C"/>
          </w:tcPr>
          <w:p>
            <w:pPr>
              <w:spacing w:before="40" w:after="40"/>
              <w:jc w:val="center"/>
            </w:pPr>
            <w:r/>
            <w:r>
              <w:rPr>
                <w:rFonts w:ascii="Calibri" w:hAnsi="Calibri"/>
                <w:b/>
                <w:color w:val="FFFFFF"/>
                <w:sz w:val="17"/>
              </w:rPr>
              <w:t>NRIC No.</w:t>
            </w:r>
          </w:p>
        </w:tc>
        <w:tc>
          <w:tcPr>
            <w:tcW w:type="dxa" w:w="4680"/>
            <w:shd w:val="clear" w:color="auto" w:fill="0B0B0C"/>
          </w:tcPr>
          <w:p>
            <w:pPr>
              <w:spacing w:before="40" w:after="40"/>
              <w:jc w:val="center"/>
            </w:pPr>
            <w:r/>
            <w:r>
              <w:rPr>
                <w:rFonts w:ascii="Calibri" w:hAnsi="Calibri"/>
                <w:b/>
                <w:color w:val="FFFFFF"/>
                <w:sz w:val="17"/>
              </w:rPr>
              <w:t>Address</w:t>
            </w:r>
          </w:p>
        </w:tc>
      </w:tr>
      <w:tr>
        <w:tc>
          <w:tcPr>
            <w:tcW w:type="dxa" w:w="2520"/>
          </w:tcPr>
          <w:p>
            <w:pPr>
              <w:spacing w:before="40" w:after="40"/>
            </w:pPr>
            <w:r/>
            <w:r>
              <w:rPr>
                <w:rFonts w:ascii="Cambria" w:hAnsi="Cambria"/>
                <w:sz w:val="17"/>
              </w:rPr>
              <w:t>Soh Ye Wen (“Soh”)</w:t>
            </w:r>
          </w:p>
        </w:tc>
        <w:tc>
          <w:tcPr>
            <w:tcW w:type="dxa" w:w="2088"/>
          </w:tcPr>
          <w:p>
            <w:pPr>
              <w:spacing w:before="40" w:after="40"/>
            </w:pPr>
            <w:r/>
            <w:r>
              <w:rPr>
                <w:rFonts w:ascii="Cambria" w:hAnsi="Cambria"/>
                <w:sz w:val="17"/>
              </w:rPr>
              <w:t>________________</w:t>
            </w:r>
          </w:p>
        </w:tc>
        <w:tc>
          <w:tcPr>
            <w:tcW w:type="dxa" w:w="4680"/>
          </w:tcPr>
          <w:p>
            <w:pPr>
              <w:spacing w:before="40" w:after="40"/>
            </w:pPr>
            <w:r/>
            <w:r>
              <w:rPr>
                <w:rFonts w:ascii="Cambria" w:hAnsi="Cambria"/>
                <w:sz w:val="17"/>
              </w:rPr>
              <w:t>____________________________________</w:t>
            </w:r>
          </w:p>
        </w:tc>
      </w:tr>
      <w:tr>
        <w:tc>
          <w:tcPr>
            <w:tcW w:type="dxa" w:w="2520"/>
            <w:shd w:val="clear" w:color="auto" w:fill="F6F6F4"/>
          </w:tcPr>
          <w:p>
            <w:pPr>
              <w:spacing w:before="40" w:after="40"/>
            </w:pPr>
            <w:r/>
            <w:r>
              <w:rPr>
                <w:rFonts w:ascii="Cambria" w:hAnsi="Cambria"/>
                <w:sz w:val="17"/>
              </w:rPr>
              <w:t>Lee Yong Han (“Lee”)</w:t>
            </w:r>
          </w:p>
        </w:tc>
        <w:tc>
          <w:tcPr>
            <w:tcW w:type="dxa" w:w="2088"/>
            <w:shd w:val="clear" w:color="auto" w:fill="F6F6F4"/>
          </w:tcPr>
          <w:p>
            <w:pPr>
              <w:spacing w:before="40" w:after="40"/>
            </w:pPr>
            <w:r/>
            <w:r>
              <w:rPr>
                <w:rFonts w:ascii="Cambria" w:hAnsi="Cambria"/>
                <w:sz w:val="17"/>
              </w:rPr>
              <w:t>________________</w:t>
            </w:r>
          </w:p>
        </w:tc>
        <w:tc>
          <w:tcPr>
            <w:tcW w:type="dxa" w:w="4680"/>
            <w:shd w:val="clear" w:color="auto" w:fill="F6F6F4"/>
          </w:tcPr>
          <w:p>
            <w:pPr>
              <w:spacing w:before="40" w:after="40"/>
            </w:pPr>
            <w:r/>
            <w:r>
              <w:rPr>
                <w:rFonts w:ascii="Cambria" w:hAnsi="Cambria"/>
                <w:sz w:val="17"/>
              </w:rPr>
              <w:t>____________________________________</w:t>
            </w:r>
          </w:p>
        </w:tc>
      </w:tr>
      <w:tr>
        <w:tc>
          <w:tcPr>
            <w:tcW w:type="dxa" w:w="2520"/>
          </w:tcPr>
          <w:p>
            <w:pPr>
              <w:spacing w:before="40" w:after="40"/>
            </w:pPr>
            <w:r/>
            <w:r>
              <w:rPr>
                <w:rFonts w:ascii="Cambria" w:hAnsi="Cambria"/>
                <w:sz w:val="17"/>
              </w:rPr>
              <w:t>Ian Chin Jun Sheng (“Ian”)</w:t>
            </w:r>
          </w:p>
        </w:tc>
        <w:tc>
          <w:tcPr>
            <w:tcW w:type="dxa" w:w="2088"/>
          </w:tcPr>
          <w:p>
            <w:pPr>
              <w:spacing w:before="40" w:after="40"/>
            </w:pPr>
            <w:r/>
            <w:r>
              <w:rPr>
                <w:rFonts w:ascii="Cambria" w:hAnsi="Cambria"/>
                <w:sz w:val="17"/>
              </w:rPr>
              <w:t>________________</w:t>
            </w:r>
          </w:p>
        </w:tc>
        <w:tc>
          <w:tcPr>
            <w:tcW w:type="dxa" w:w="4680"/>
          </w:tcPr>
          <w:p>
            <w:pPr>
              <w:spacing w:before="40" w:after="40"/>
            </w:pPr>
            <w:r/>
            <w:r>
              <w:rPr>
                <w:rFonts w:ascii="Cambria" w:hAnsi="Cambria"/>
                <w:sz w:val="17"/>
              </w:rPr>
              <w:t>____________________________________</w:t>
            </w:r>
          </w:p>
        </w:tc>
      </w:tr>
    </w:tbl>
    <w:p>
      <w:pPr>
        <w:spacing w:after="40" w:before="120"/>
      </w:pPr>
      <w:r>
        <w:rPr>
          <w:rFonts w:ascii="Cambria" w:hAnsi="Cambria"/>
          <w:b w:val="0"/>
          <w:i w:val="0"/>
          <w:color w:val="0B0B0C"/>
          <w:sz w:val="19"/>
        </w:rPr>
        <w:t>Each a “Founder”, together the “Founders”. The Founders are building YiY Tech — inventory, stock, booking and operations software for small and medium businesses in Malaysia and Singapore (the “Business”) — and intend to incorporate YiY Tech Sdn. Bhd. in Malaysia to own it (the “Company”). This Agreement is legally binding on each Founder from the date the last of them signs it (the “Start Date”), and binds the Company once incorporated.</w:t>
      </w:r>
    </w:p>
    <w:p>
      <w:pPr>
        <w:keepNext/>
        <w:spacing w:before="220" w:after="100"/>
        <w:pBdr>
          <w:bottom w:val="single" w:sz="6" w:space="3" w:color="DDDDD8"/>
        </w:pBdr>
      </w:pPr>
      <w:r>
        <w:rPr>
          <w:rFonts w:ascii="Calibri" w:hAnsi="Calibri"/>
          <w:b/>
          <w:color w:val="1B4DE4"/>
          <w:sz w:val="21"/>
        </w:rPr>
        <w:t>1.</w:t>
      </w:r>
      <w:r>
        <w:rPr>
          <w:rFonts w:ascii="Calibri" w:hAnsi="Calibri"/>
          <w:b/>
          <w:color w:val="0B0B0C"/>
          <w:sz w:val="21"/>
          <w:spacing w:val="14"/>
        </w:rPr>
        <w:t xml:space="preserve">  THE COMPANY</w:t>
      </w:r>
    </w:p>
    <w:p>
      <w:pPr>
        <w:tabs>
          <w:tab w:pos="547" w:val="left"/>
        </w:tabs>
        <w:spacing w:after="100"/>
        <w:ind w:left="547" w:hanging="547"/>
      </w:pPr>
      <w:r>
        <w:rPr>
          <w:rFonts w:ascii="Cambria" w:hAnsi="Cambria"/>
          <w:b/>
          <w:sz w:val="19"/>
        </w:rPr>
        <w:t>1.1</w:t>
        <w:tab/>
      </w:r>
      <w:r>
        <w:rPr>
          <w:rFonts w:ascii="Cambria" w:hAnsi="Cambria"/>
          <w:sz w:val="19"/>
        </w:rPr>
        <w:t>The Founders shall incorporate the Company with SSM within ninety (90) days of the Start Date and shall transfer to it all domains, code, accounts, brand assets and customer relationships of the Business, without further payment.</w:t>
      </w:r>
    </w:p>
    <w:p>
      <w:pPr>
        <w:tabs>
          <w:tab w:pos="547" w:val="left"/>
        </w:tabs>
        <w:spacing w:after="100"/>
        <w:ind w:left="547" w:hanging="547"/>
      </w:pPr>
      <w:r>
        <w:rPr>
          <w:rFonts w:ascii="Cambria" w:hAnsi="Cambria"/>
          <w:b/>
          <w:sz w:val="19"/>
        </w:rPr>
        <w:t>1.2</w:t>
        <w:tab/>
      </w:r>
      <w:r>
        <w:rPr>
          <w:rFonts w:ascii="Cambria" w:hAnsi="Cambria"/>
          <w:sz w:val="19"/>
        </w:rPr>
        <w:t>Until incorporation, the Founders deal with each other as if the Company already existed, on these terms. If the Company's constitution ever conflicts with this Agreement, the Founders shall vote to amend the constitution to match.</w:t>
      </w:r>
    </w:p>
    <w:p>
      <w:pPr>
        <w:keepNext/>
        <w:spacing w:before="220" w:after="100"/>
        <w:pBdr>
          <w:bottom w:val="single" w:sz="6" w:space="3" w:color="DDDDD8"/>
        </w:pBdr>
      </w:pPr>
      <w:r>
        <w:rPr>
          <w:rFonts w:ascii="Calibri" w:hAnsi="Calibri"/>
          <w:b/>
          <w:color w:val="1B4DE4"/>
          <w:sz w:val="21"/>
        </w:rPr>
        <w:t>2.</w:t>
      </w:r>
      <w:r>
        <w:rPr>
          <w:rFonts w:ascii="Calibri" w:hAnsi="Calibri"/>
          <w:b/>
          <w:color w:val="0B0B0C"/>
          <w:sz w:val="21"/>
          <w:spacing w:val="14"/>
        </w:rPr>
        <w:t xml:space="preserve">  COMMITMENT AND ROLES</w:t>
      </w:r>
    </w:p>
    <w:p>
      <w:pPr>
        <w:tabs>
          <w:tab w:pos="547" w:val="left"/>
        </w:tabs>
        <w:spacing w:after="100"/>
        <w:ind w:left="547" w:hanging="547"/>
      </w:pPr>
      <w:r>
        <w:rPr>
          <w:rFonts w:ascii="Cambria" w:hAnsi="Cambria"/>
          <w:b/>
          <w:sz w:val="19"/>
        </w:rPr>
        <w:t>2.1</w:t>
        <w:tab/>
      </w:r>
      <w:r>
        <w:rPr>
          <w:rFonts w:ascii="Cambria" w:hAnsi="Cambria"/>
          <w:sz w:val="19"/>
        </w:rPr>
        <w:t>Each Founder shall commit the role, hours and responsibilities set out in the Schedule, act in the best interests of the Business, and tell the others promptly of anything that materially reduces their availability.</w:t>
      </w:r>
    </w:p>
    <w:p>
      <w:pPr>
        <w:tabs>
          <w:tab w:pos="547" w:val="left"/>
        </w:tabs>
        <w:spacing w:after="100"/>
        <w:ind w:left="547" w:hanging="547"/>
      </w:pPr>
      <w:r>
        <w:rPr>
          <w:rFonts w:ascii="Cambria" w:hAnsi="Cambria"/>
          <w:b/>
          <w:sz w:val="19"/>
        </w:rPr>
        <w:t>2.2</w:t>
        <w:tab/>
      </w:r>
      <w:r>
        <w:rPr>
          <w:rFonts w:ascii="Cambria" w:hAnsi="Cambria"/>
          <w:sz w:val="19"/>
        </w:rPr>
        <w:t>Each Founder has final say inside their own domain. Anything wider is decided by simple majority, one vote per Founder regardless of shareholding.</w:t>
      </w:r>
    </w:p>
    <w:p>
      <w:pPr>
        <w:tabs>
          <w:tab w:pos="547" w:val="left"/>
        </w:tabs>
        <w:spacing w:after="100"/>
        <w:ind w:left="547" w:hanging="547"/>
      </w:pPr>
      <w:r>
        <w:rPr>
          <w:rFonts w:ascii="Cambria" w:hAnsi="Cambria"/>
          <w:b/>
          <w:sz w:val="19"/>
        </w:rPr>
        <w:t>2.3</w:t>
        <w:tab/>
      </w:r>
      <w:r>
        <w:rPr>
          <w:rFonts w:ascii="Cambria" w:hAnsi="Cambria"/>
          <w:b/>
          <w:sz w:val="19"/>
        </w:rPr>
        <w:t xml:space="preserve">The following </w:t>
      </w:r>
      <w:r>
        <w:rPr>
          <w:rFonts w:ascii="Cambria" w:hAnsi="Cambria"/>
          <w:sz w:val="19"/>
        </w:rPr>
        <w:t xml:space="preserve"> require the written consent of all three Founders: issuing or transferring shares; changing equity or vesting; raising investment; any commitment over RM 10,000; setting salaries or dividends; adding or removing a Founder; selling or licensing material IP; selling or winding up the Business; changing what the Business does.</w:t>
      </w:r>
    </w:p>
    <w:p>
      <w:pPr>
        <w:tabs>
          <w:tab w:pos="547" w:val="left"/>
        </w:tabs>
        <w:spacing w:after="100"/>
        <w:ind w:left="547" w:hanging="547"/>
      </w:pPr>
      <w:r>
        <w:rPr>
          <w:rFonts w:ascii="Cambria" w:hAnsi="Cambria"/>
          <w:b/>
          <w:sz w:val="19"/>
        </w:rPr>
        <w:t>2.4</w:t>
        <w:tab/>
      </w:r>
      <w:r>
        <w:rPr>
          <w:rFonts w:ascii="Cambria" w:hAnsi="Cambria"/>
          <w:sz w:val="19"/>
        </w:rPr>
        <w:t>No Founder shall work for or hold more than 5% of a competing business in Malaysia or Singapore without the written consent of the others.</w:t>
      </w:r>
    </w:p>
    <w:p>
      <w:pPr>
        <w:tabs>
          <w:tab w:pos="547" w:val="left"/>
        </w:tabs>
        <w:spacing w:after="100"/>
        <w:ind w:left="547" w:hanging="547"/>
      </w:pPr>
      <w:r>
        <w:rPr>
          <w:rFonts w:ascii="Cambria" w:hAnsi="Cambria"/>
          <w:b/>
          <w:sz w:val="19"/>
        </w:rPr>
        <w:t>2.5</w:t>
        <w:tab/>
      </w:r>
      <w:r>
        <w:rPr>
          <w:rFonts w:ascii="Cambria" w:hAnsi="Cambria"/>
          <w:sz w:val="19"/>
        </w:rPr>
        <w:t>The Founders shall meet at least monthly and keep short written minutes.</w:t>
      </w:r>
    </w:p>
    <w:p>
      <w:pPr>
        <w:keepNext/>
        <w:spacing w:before="220" w:after="100"/>
        <w:pBdr>
          <w:bottom w:val="single" w:sz="6" w:space="3" w:color="DDDDD8"/>
        </w:pBdr>
      </w:pPr>
      <w:r>
        <w:rPr>
          <w:rFonts w:ascii="Calibri" w:hAnsi="Calibri"/>
          <w:b/>
          <w:color w:val="1B4DE4"/>
          <w:sz w:val="21"/>
        </w:rPr>
        <w:t>3.</w:t>
      </w:r>
      <w:r>
        <w:rPr>
          <w:rFonts w:ascii="Calibri" w:hAnsi="Calibri"/>
          <w:b/>
          <w:color w:val="0B0B0C"/>
          <w:sz w:val="21"/>
          <w:spacing w:val="14"/>
        </w:rPr>
        <w:t xml:space="preserve">  EQUITY</w:t>
      </w:r>
    </w:p>
    <w:p>
      <w:pPr>
        <w:tabs>
          <w:tab w:pos="547" w:val="left"/>
        </w:tabs>
        <w:spacing w:after="100"/>
        <w:ind w:left="547" w:hanging="547"/>
      </w:pPr>
      <w:r>
        <w:rPr>
          <w:rFonts w:ascii="Cambria" w:hAnsi="Cambria"/>
          <w:b/>
          <w:sz w:val="19"/>
        </w:rPr>
        <w:t>3.1</w:t>
        <w:tab/>
      </w:r>
      <w:r>
        <w:rPr>
          <w:rFonts w:ascii="Cambria" w:hAnsi="Cambria"/>
          <w:sz w:val="19"/>
        </w:rPr>
        <w:t>Founder Shares are allocated in the percentages set out in Part 2 of the Schedule, worked out using the weighted method in that Part.</w:t>
      </w:r>
    </w:p>
    <w:p>
      <w:pPr>
        <w:tabs>
          <w:tab w:pos="547" w:val="left"/>
        </w:tabs>
        <w:spacing w:after="100"/>
        <w:ind w:left="547" w:hanging="547"/>
      </w:pPr>
      <w:r>
        <w:rPr>
          <w:rFonts w:ascii="Cambria" w:hAnsi="Cambria"/>
          <w:b/>
          <w:sz w:val="19"/>
        </w:rPr>
        <w:t>3.2</w:t>
        <w:tab/>
      </w:r>
      <w:r>
        <w:rPr>
          <w:rFonts w:ascii="Cambria" w:hAnsi="Cambria"/>
          <w:sz w:val="19"/>
        </w:rPr>
        <w:t>Those percentages are final once signed, and change only with the written consent of all Founders. Vesting under Clause 4, not renegotiation, is the agreed answer to unequal future effort.</w:t>
      </w:r>
    </w:p>
    <w:p>
      <w:pPr>
        <w:tabs>
          <w:tab w:pos="547" w:val="left"/>
        </w:tabs>
        <w:spacing w:after="100"/>
        <w:ind w:left="547" w:hanging="547"/>
      </w:pPr>
      <w:r>
        <w:rPr>
          <w:rFonts w:ascii="Cambria" w:hAnsi="Cambria"/>
          <w:b/>
          <w:sz w:val="19"/>
        </w:rPr>
        <w:t>3.3</w:t>
        <w:tab/>
      </w:r>
      <w:r>
        <w:rPr>
          <w:rFonts w:ascii="Cambria" w:hAnsi="Cambria"/>
          <w:sz w:val="19"/>
        </w:rPr>
        <w:t>A 10% employee share option pool shall be created at or before the first external funding round, diluting the Founders pro rata.</w:t>
      </w:r>
    </w:p>
    <w:p>
      <w:pPr>
        <w:keepNext/>
        <w:spacing w:before="220" w:after="100"/>
        <w:pBdr>
          <w:bottom w:val="single" w:sz="6" w:space="3" w:color="DDDDD8"/>
        </w:pBdr>
      </w:pPr>
      <w:r>
        <w:rPr>
          <w:rFonts w:ascii="Calibri" w:hAnsi="Calibri"/>
          <w:b/>
          <w:color w:val="1B4DE4"/>
          <w:sz w:val="21"/>
        </w:rPr>
        <w:t>4.</w:t>
      </w:r>
      <w:r>
        <w:rPr>
          <w:rFonts w:ascii="Calibri" w:hAnsi="Calibri"/>
          <w:b/>
          <w:color w:val="0B0B0C"/>
          <w:sz w:val="21"/>
          <w:spacing w:val="14"/>
        </w:rPr>
        <w:t xml:space="preserve">  VESTING</w:t>
      </w:r>
    </w:p>
    <w:p>
      <w:pPr>
        <w:tabs>
          <w:tab w:pos="547" w:val="left"/>
        </w:tabs>
        <w:spacing w:after="100"/>
        <w:ind w:left="547" w:hanging="547"/>
      </w:pPr>
      <w:r>
        <w:rPr>
          <w:rFonts w:ascii="Cambria" w:hAnsi="Cambria"/>
          <w:b/>
          <w:sz w:val="19"/>
        </w:rPr>
        <w:t>4.1</w:t>
        <w:tab/>
      </w:r>
      <w:r>
        <w:rPr>
          <w:rFonts w:ascii="Cambria" w:hAnsi="Cambria"/>
          <w:sz w:val="19"/>
        </w:rPr>
        <w:t>All Founder Shares vest over four (4) years from the Start Date with a one (1) year cliff: nothing vests in the first year; 25% vests on the first anniversary; the rest vests in 36 equal monthly instalments. Vesting runs from the Start Date, so work done before incorporation counts.</w:t>
      </w:r>
    </w:p>
    <w:p>
      <w:pPr>
        <w:tabs>
          <w:tab w:pos="547" w:val="left"/>
        </w:tabs>
        <w:spacing w:after="100"/>
        <w:ind w:left="547" w:hanging="547"/>
      </w:pPr>
      <w:r>
        <w:rPr>
          <w:rFonts w:ascii="Cambria" w:hAnsi="Cambria"/>
          <w:b/>
          <w:sz w:val="19"/>
        </w:rPr>
        <w:t>4.2</w:t>
        <w:tab/>
      </w:r>
      <w:r>
        <w:rPr>
          <w:rFonts w:ascii="Cambria" w:hAnsi="Cambria"/>
          <w:sz w:val="19"/>
        </w:rPr>
        <w:t>Unvested shares still carry votes and dividends but cannot be sold or transferred and are subject to buy-back under Clause 6.</w:t>
      </w:r>
    </w:p>
    <w:p>
      <w:pPr>
        <w:tabs>
          <w:tab w:pos="547" w:val="left"/>
        </w:tabs>
        <w:spacing w:after="100"/>
        <w:ind w:left="547" w:hanging="547"/>
      </w:pPr>
      <w:r>
        <w:rPr>
          <w:rFonts w:ascii="Cambria" w:hAnsi="Cambria"/>
          <w:b/>
          <w:sz w:val="19"/>
        </w:rPr>
        <w:t>4.3</w:t>
        <w:tab/>
      </w:r>
      <w:r>
        <w:rPr>
          <w:rFonts w:ascii="Cambria" w:hAnsi="Cambria"/>
          <w:b/>
          <w:sz w:val="19"/>
        </w:rPr>
        <w:t>Acceleration.</w:t>
      </w:r>
      <w:r>
        <w:rPr>
          <w:rFonts w:ascii="Cambria" w:hAnsi="Cambria"/>
          <w:sz w:val="19"/>
        </w:rPr>
        <w:t xml:space="preserve"> On a sale of the Business, 50% of each Founder's unvested shares vest immediately. If a Founder is removed without cause within twelve (12) months after that sale, the rest vests in full.</w:t>
      </w:r>
    </w:p>
    <w:p>
      <w:pPr>
        <w:tabs>
          <w:tab w:pos="547" w:val="left"/>
        </w:tabs>
        <w:spacing w:after="100"/>
        <w:ind w:left="547" w:hanging="547"/>
      </w:pPr>
      <w:r>
        <w:rPr>
          <w:rFonts w:ascii="Cambria" w:hAnsi="Cambria"/>
          <w:b/>
          <w:sz w:val="19"/>
        </w:rPr>
        <w:t>4.4</w:t>
        <w:tab/>
      </w:r>
      <w:r>
        <w:rPr>
          <w:rFonts w:ascii="Cambria" w:hAnsi="Cambria"/>
          <w:b/>
          <w:sz w:val="19"/>
        </w:rPr>
        <w:t>Pause.</w:t>
      </w:r>
      <w:r>
        <w:rPr>
          <w:rFonts w:ascii="Cambria" w:hAnsi="Cambria"/>
          <w:sz w:val="19"/>
        </w:rPr>
        <w:t xml:space="preserve"> If a Founder stops meeting their committed hours for more than sixty (60) consecutive days without the others' consent, their vesting pauses and resumes on return. Certified illness, injury, bereavement or statutory leave of up to ninety (90) days does not pause vesting.</w:t>
      </w:r>
    </w:p>
    <w:p>
      <w:pPr>
        <w:keepNext/>
        <w:spacing w:before="220" w:after="100"/>
        <w:pBdr>
          <w:bottom w:val="single" w:sz="6" w:space="3" w:color="DDDDD8"/>
        </w:pBdr>
      </w:pPr>
      <w:r>
        <w:rPr>
          <w:rFonts w:ascii="Calibri" w:hAnsi="Calibri"/>
          <w:b/>
          <w:color w:val="1B4DE4"/>
          <w:sz w:val="21"/>
        </w:rPr>
        <w:t>5.</w:t>
      </w:r>
      <w:r>
        <w:rPr>
          <w:rFonts w:ascii="Calibri" w:hAnsi="Calibri"/>
          <w:b/>
          <w:color w:val="0B0B0C"/>
          <w:sz w:val="21"/>
          <w:spacing w:val="14"/>
        </w:rPr>
        <w:t xml:space="preserve">  INTELLECTUAL PROPERTY</w:t>
      </w:r>
    </w:p>
    <w:p>
      <w:pPr>
        <w:tabs>
          <w:tab w:pos="547" w:val="left"/>
        </w:tabs>
        <w:spacing w:after="100"/>
        <w:ind w:left="547" w:hanging="547"/>
      </w:pPr>
      <w:r>
        <w:rPr>
          <w:rFonts w:ascii="Cambria" w:hAnsi="Cambria"/>
          <w:b/>
          <w:sz w:val="19"/>
        </w:rPr>
        <w:t>5.1</w:t>
        <w:tab/>
      </w:r>
      <w:r>
        <w:rPr>
          <w:rFonts w:ascii="Cambria" w:hAnsi="Cambria"/>
          <w:sz w:val="19"/>
        </w:rPr>
        <w:t>Each Founder assigns to the Company all IP they create for the Business — code, designs, brand, data models, documentation, know-how — whether created before or after the Start Date, and holds it on trust for the Company until incorporation. Each Founder shall sign whatever is needed to perfect the Company's title, including after they leave.</w:t>
      </w:r>
    </w:p>
    <w:p>
      <w:pPr>
        <w:tabs>
          <w:tab w:pos="547" w:val="left"/>
        </w:tabs>
        <w:spacing w:after="100"/>
        <w:ind w:left="547" w:hanging="547"/>
      </w:pPr>
      <w:r>
        <w:rPr>
          <w:rFonts w:ascii="Cambria" w:hAnsi="Cambria"/>
          <w:b/>
          <w:sz w:val="19"/>
        </w:rPr>
        <w:t>5.2</w:t>
        <w:tab/>
      </w:r>
      <w:r>
        <w:rPr>
          <w:rFonts w:ascii="Cambria" w:hAnsi="Cambria"/>
          <w:sz w:val="19"/>
        </w:rPr>
        <w:t>“YiY”, “YiY Tech”, the YiY mark, domains and repositories belong to the Company alone. Any pre-existing IP a Founder wants excluded must be listed in Part 3 of the Schedule; anything not listed is assigned in full.</w:t>
      </w:r>
    </w:p>
    <w:p>
      <w:pPr>
        <w:keepNext/>
        <w:spacing w:before="220" w:after="100"/>
        <w:pBdr>
          <w:bottom w:val="single" w:sz="6" w:space="3" w:color="DDDDD8"/>
        </w:pBdr>
      </w:pPr>
      <w:r>
        <w:rPr>
          <w:rFonts w:ascii="Calibri" w:hAnsi="Calibri"/>
          <w:b/>
          <w:color w:val="1B4DE4"/>
          <w:sz w:val="21"/>
        </w:rPr>
        <w:t>6.</w:t>
      </w:r>
      <w:r>
        <w:rPr>
          <w:rFonts w:ascii="Calibri" w:hAnsi="Calibri"/>
          <w:b/>
          <w:color w:val="0B0B0C"/>
          <w:sz w:val="21"/>
          <w:spacing w:val="14"/>
        </w:rPr>
        <w:t xml:space="preserve">  IF A FOUNDER LEAVES</w:t>
      </w:r>
    </w:p>
    <w:p>
      <w:pPr>
        <w:tabs>
          <w:tab w:pos="547" w:val="left"/>
        </w:tabs>
        <w:spacing w:after="100"/>
        <w:ind w:left="547" w:hanging="547"/>
      </w:pPr>
      <w:r>
        <w:rPr>
          <w:rFonts w:ascii="Cambria" w:hAnsi="Cambria"/>
          <w:b/>
          <w:sz w:val="19"/>
        </w:rPr>
        <w:t>6.1</w:t>
        <w:tab/>
      </w:r>
      <w:r>
        <w:rPr>
          <w:rFonts w:ascii="Cambria" w:hAnsi="Cambria"/>
          <w:b/>
          <w:sz w:val="19"/>
        </w:rPr>
        <w:t>“Cause”</w:t>
      </w:r>
      <w:r>
        <w:rPr>
          <w:rFonts w:ascii="Cambria" w:hAnsi="Cambria"/>
          <w:sz w:val="19"/>
        </w:rPr>
        <w:t xml:space="preserve"> means: unremedied material breach of this Agreement after thirty (30) days' written notice; fraud, dishonesty or theft; gross negligence or wilful misconduct that damages the Business; bankruptcy; or abandoning the role for more than sixty (60) consecutive days without consent. A Founder may be removed by the written resolution of both other Founders where cause exists.</w:t>
      </w:r>
    </w:p>
    <w:p>
      <w:pPr>
        <w:tabs>
          <w:tab w:pos="547" w:val="left"/>
        </w:tabs>
        <w:spacing w:after="100"/>
        <w:ind w:left="547" w:hanging="547"/>
      </w:pPr>
      <w:r>
        <w:rPr>
          <w:rFonts w:ascii="Cambria" w:hAnsi="Cambria"/>
          <w:b/>
          <w:sz w:val="19"/>
        </w:rPr>
        <w:t>6.2</w:t>
        <w:tab/>
      </w:r>
      <w:r>
        <w:rPr>
          <w:rFonts w:ascii="Cambria" w:hAnsi="Cambria"/>
          <w:b/>
          <w:sz w:val="19"/>
        </w:rPr>
        <w:t>Bad leaver:</w:t>
      </w:r>
      <w:r>
        <w:rPr>
          <w:rFonts w:ascii="Cambria" w:hAnsi="Cambria"/>
          <w:sz w:val="19"/>
        </w:rPr>
        <w:t xml:space="preserve"> a Founder who leaves for cause, or who resigns before the second anniversary of the Start Date. Anyone else, including on death, permanent incapacity, or by agreement of the other Founders, is a good leaver.</w:t>
      </w:r>
    </w:p>
    <w:p>
      <w:pPr>
        <w:tabs>
          <w:tab w:pos="547" w:val="left"/>
        </w:tabs>
        <w:spacing w:after="100"/>
        <w:ind w:left="547" w:hanging="547"/>
      </w:pPr>
      <w:r>
        <w:rPr>
          <w:rFonts w:ascii="Cambria" w:hAnsi="Cambria"/>
          <w:b/>
          <w:sz w:val="19"/>
        </w:rPr>
        <w:t>6.3</w:t>
        <w:tab/>
      </w:r>
      <w:r>
        <w:rPr>
          <w:rFonts w:ascii="Cambria" w:hAnsi="Cambria"/>
          <w:b/>
          <w:sz w:val="19"/>
        </w:rPr>
        <w:t>Shares.</w:t>
      </w:r>
      <w:r>
        <w:rPr>
          <w:rFonts w:ascii="Cambria" w:hAnsi="Cambria"/>
          <w:sz w:val="19"/>
        </w:rPr>
        <w:t xml:space="preserve"> Any leaver's unvested shares are bought back by the Company, or transferred to the continuing Founders pro rata, for RM 1.00 in total. A good leaver keeps their vested shares. A bad leaver's vested shares may be bought back within six (6) months at the lower of what they paid and fair market value. Fair market value, if not agreed within thirty (30) days, is fixed by an independent chartered accountant appointed jointly, or failing that by the President of the Malaysian Institute of Accountants.</w:t>
      </w:r>
    </w:p>
    <w:p>
      <w:pPr>
        <w:tabs>
          <w:tab w:pos="547" w:val="left"/>
        </w:tabs>
        <w:spacing w:after="100"/>
        <w:ind w:left="547" w:hanging="547"/>
      </w:pPr>
      <w:r>
        <w:rPr>
          <w:rFonts w:ascii="Cambria" w:hAnsi="Cambria"/>
          <w:b/>
          <w:sz w:val="19"/>
        </w:rPr>
        <w:t>6.4</w:t>
        <w:tab/>
      </w:r>
      <w:r>
        <w:rPr>
          <w:rFonts w:ascii="Cambria" w:hAnsi="Cambria"/>
          <w:sz w:val="19"/>
        </w:rPr>
        <w:t>A leaver shall immediately return all Company property, records, credentials and data, and remains bound by Clauses 5, 7 and 8.</w:t>
      </w:r>
    </w:p>
    <w:p>
      <w:pPr>
        <w:keepNext/>
        <w:spacing w:before="220" w:after="100"/>
        <w:pBdr>
          <w:bottom w:val="single" w:sz="6" w:space="3" w:color="DDDDD8"/>
        </w:pBdr>
      </w:pPr>
      <w:r>
        <w:rPr>
          <w:rFonts w:ascii="Calibri" w:hAnsi="Calibri"/>
          <w:b/>
          <w:color w:val="1B4DE4"/>
          <w:sz w:val="21"/>
        </w:rPr>
        <w:t>7.</w:t>
      </w:r>
      <w:r>
        <w:rPr>
          <w:rFonts w:ascii="Calibri" w:hAnsi="Calibri"/>
          <w:b/>
          <w:color w:val="0B0B0C"/>
          <w:sz w:val="21"/>
          <w:spacing w:val="14"/>
        </w:rPr>
        <w:t xml:space="preserve">  MONEY</w:t>
      </w:r>
    </w:p>
    <w:p>
      <w:pPr>
        <w:tabs>
          <w:tab w:pos="547" w:val="left"/>
        </w:tabs>
        <w:spacing w:after="100"/>
        <w:ind w:left="547" w:hanging="547"/>
      </w:pPr>
      <w:r>
        <w:rPr>
          <w:rFonts w:ascii="Cambria" w:hAnsi="Cambria"/>
          <w:b/>
          <w:sz w:val="19"/>
        </w:rPr>
        <w:t>7.1</w:t>
        <w:tab/>
      </w:r>
      <w:r>
        <w:rPr>
          <w:rFonts w:ascii="Cambria" w:hAnsi="Cambria"/>
          <w:sz w:val="19"/>
        </w:rPr>
        <w:t>Cash a Founder puts in beyond the initial capital in Part 4 of the Schedule is an interest-free director's loan, repaid when all Founders agree the Company can afford it, and repaid before any dividend. Cash does not by itself change the equity split.</w:t>
      </w:r>
    </w:p>
    <w:p>
      <w:pPr>
        <w:tabs>
          <w:tab w:pos="547" w:val="left"/>
        </w:tabs>
        <w:spacing w:after="100"/>
        <w:ind w:left="547" w:hanging="547"/>
      </w:pPr>
      <w:r>
        <w:rPr>
          <w:rFonts w:ascii="Cambria" w:hAnsi="Cambria"/>
          <w:b/>
          <w:sz w:val="19"/>
        </w:rPr>
        <w:t>7.2</w:t>
        <w:tab/>
      </w:r>
      <w:r>
        <w:rPr>
          <w:rFonts w:ascii="Cambria" w:hAnsi="Cambria"/>
          <w:sz w:val="19"/>
        </w:rPr>
        <w:t>No salary or drawings until all Founders agree the Business can sustain them. Expenses over RM 1,000 need prior approval from another Founder. Company payments over RM 5,000 need two Founder signatories.</w:t>
      </w:r>
    </w:p>
    <w:p>
      <w:pPr>
        <w:tabs>
          <w:tab w:pos="547" w:val="left"/>
        </w:tabs>
        <w:spacing w:after="100"/>
        <w:ind w:left="547" w:hanging="547"/>
      </w:pPr>
      <w:r>
        <w:rPr>
          <w:rFonts w:ascii="Cambria" w:hAnsi="Cambria"/>
          <w:b/>
          <w:sz w:val="19"/>
        </w:rPr>
        <w:t>7.3</w:t>
        <w:tab/>
      </w:r>
      <w:r>
        <w:rPr>
          <w:rFonts w:ascii="Cambria" w:hAnsi="Cambria"/>
          <w:sz w:val="19"/>
        </w:rPr>
        <w:t>The Company shall keep proper accounts and a separate bank account, open to every Founder at all times.</w:t>
      </w:r>
    </w:p>
    <w:p>
      <w:pPr>
        <w:keepNext/>
        <w:spacing w:before="220" w:after="100"/>
        <w:pBdr>
          <w:bottom w:val="single" w:sz="6" w:space="3" w:color="DDDDD8"/>
        </w:pBdr>
      </w:pPr>
      <w:r>
        <w:rPr>
          <w:rFonts w:ascii="Calibri" w:hAnsi="Calibri"/>
          <w:b/>
          <w:color w:val="1B4DE4"/>
          <w:sz w:val="21"/>
        </w:rPr>
        <w:t>8.</w:t>
      </w:r>
      <w:r>
        <w:rPr>
          <w:rFonts w:ascii="Calibri" w:hAnsi="Calibri"/>
          <w:b/>
          <w:color w:val="0B0B0C"/>
          <w:sz w:val="21"/>
          <w:spacing w:val="14"/>
        </w:rPr>
        <w:t xml:space="preserve">  CONFIDENTIALITY AND RESTRICTIONS</w:t>
      </w:r>
    </w:p>
    <w:p>
      <w:pPr>
        <w:tabs>
          <w:tab w:pos="547" w:val="left"/>
        </w:tabs>
        <w:spacing w:after="100"/>
        <w:ind w:left="547" w:hanging="547"/>
      </w:pPr>
      <w:r>
        <w:rPr>
          <w:rFonts w:ascii="Cambria" w:hAnsi="Cambria"/>
          <w:b/>
          <w:sz w:val="19"/>
        </w:rPr>
        <w:t>8.1</w:t>
        <w:tab/>
      </w:r>
      <w:r>
        <w:rPr>
          <w:rFonts w:ascii="Cambria" w:hAnsi="Cambria"/>
          <w:sz w:val="19"/>
        </w:rPr>
        <w:t>Each Founder shall keep confidential all non-public information about the Business — code, financials, pricing, customers, roadmap, investor talks and these terms — during and after their involvement, indefinitely for source code and trade secrets.</w:t>
      </w:r>
    </w:p>
    <w:p>
      <w:pPr>
        <w:tabs>
          <w:tab w:pos="547" w:val="left"/>
        </w:tabs>
        <w:spacing w:after="100"/>
        <w:ind w:left="547" w:hanging="547"/>
      </w:pPr>
      <w:r>
        <w:rPr>
          <w:rFonts w:ascii="Cambria" w:hAnsi="Cambria"/>
          <w:b/>
          <w:sz w:val="19"/>
        </w:rPr>
        <w:t>8.2</w:t>
        <w:tab/>
      </w:r>
      <w:r>
        <w:rPr>
          <w:rFonts w:ascii="Cambria" w:hAnsi="Cambria"/>
          <w:sz w:val="19"/>
        </w:rPr>
        <w:t>For twelve (12) months after leaving, a former Founder shall not compete with the Business in Malaysia or Singapore, nor solicit its staff, contractors, customers or suppliers. If a court finds any part too wide, it applies as narrowed rather than falling away.</w:t>
      </w:r>
    </w:p>
    <w:p>
      <w:pPr>
        <w:keepNext/>
        <w:spacing w:before="220" w:after="100"/>
        <w:pBdr>
          <w:bottom w:val="single" w:sz="6" w:space="3" w:color="DDDDD8"/>
        </w:pBdr>
      </w:pPr>
      <w:r>
        <w:rPr>
          <w:rFonts w:ascii="Calibri" w:hAnsi="Calibri"/>
          <w:b/>
          <w:color w:val="1B4DE4"/>
          <w:sz w:val="21"/>
        </w:rPr>
        <w:t>9.</w:t>
      </w:r>
      <w:r>
        <w:rPr>
          <w:rFonts w:ascii="Calibri" w:hAnsi="Calibri"/>
          <w:b/>
          <w:color w:val="0B0B0C"/>
          <w:sz w:val="21"/>
          <w:spacing w:val="14"/>
        </w:rPr>
        <w:t xml:space="preserve">  SHARES AND EXIT</w:t>
      </w:r>
    </w:p>
    <w:p>
      <w:pPr>
        <w:tabs>
          <w:tab w:pos="547" w:val="left"/>
        </w:tabs>
        <w:spacing w:after="100"/>
        <w:ind w:left="547" w:hanging="547"/>
      </w:pPr>
      <w:r>
        <w:rPr>
          <w:rFonts w:ascii="Cambria" w:hAnsi="Cambria"/>
          <w:b/>
          <w:sz w:val="19"/>
        </w:rPr>
        <w:t>9.1</w:t>
        <w:tab/>
      </w:r>
      <w:r>
        <w:rPr>
          <w:rFonts w:ascii="Cambria" w:hAnsi="Cambria"/>
          <w:sz w:val="19"/>
        </w:rPr>
        <w:t>No Founder may sell or charge shares without the written consent of the others, except under this Clause.</w:t>
      </w:r>
    </w:p>
    <w:p>
      <w:pPr>
        <w:tabs>
          <w:tab w:pos="547" w:val="left"/>
        </w:tabs>
        <w:spacing w:after="100"/>
        <w:ind w:left="547" w:hanging="547"/>
      </w:pPr>
      <w:r>
        <w:rPr>
          <w:rFonts w:ascii="Cambria" w:hAnsi="Cambria"/>
          <w:b/>
          <w:sz w:val="19"/>
        </w:rPr>
        <w:t>9.2</w:t>
        <w:tab/>
      </w:r>
      <w:r>
        <w:rPr>
          <w:rFonts w:ascii="Cambria" w:hAnsi="Cambria"/>
          <w:sz w:val="19"/>
        </w:rPr>
        <w:t>A Founder selling shares must first offer them to the others pro rata, on the same terms as any genuine third-party offer, open for thirty (30) days. If a sale to a third party proceeds, the other Founders may require that buyer to take the same proportion of their shares on the same terms (tag-along). If Founders holding 75% or more accept a genuine offer for the whole company, the rest shall sell on the same terms (drag-along).</w:t>
      </w:r>
    </w:p>
    <w:p>
      <w:pPr>
        <w:tabs>
          <w:tab w:pos="547" w:val="left"/>
        </w:tabs>
        <w:spacing w:after="100"/>
        <w:ind w:left="547" w:hanging="547"/>
      </w:pPr>
      <w:r>
        <w:rPr>
          <w:rFonts w:ascii="Cambria" w:hAnsi="Cambria"/>
          <w:b/>
          <w:sz w:val="19"/>
        </w:rPr>
        <w:t>9.3</w:t>
        <w:tab/>
      </w:r>
      <w:r>
        <w:rPr>
          <w:rFonts w:ascii="Cambria" w:hAnsi="Cambria"/>
          <w:sz w:val="19"/>
        </w:rPr>
        <w:t>Any transfer made in breach of this Clause is void.</w:t>
      </w:r>
    </w:p>
    <w:p>
      <w:pPr>
        <w:keepNext/>
        <w:spacing w:before="220" w:after="100"/>
        <w:pBdr>
          <w:bottom w:val="single" w:sz="6" w:space="3" w:color="DDDDD8"/>
        </w:pBdr>
      </w:pPr>
      <w:r>
        <w:rPr>
          <w:rFonts w:ascii="Calibri" w:hAnsi="Calibri"/>
          <w:b/>
          <w:color w:val="1B4DE4"/>
          <w:sz w:val="21"/>
        </w:rPr>
        <w:t>10.</w:t>
      </w:r>
      <w:r>
        <w:rPr>
          <w:rFonts w:ascii="Calibri" w:hAnsi="Calibri"/>
          <w:b/>
          <w:color w:val="0B0B0C"/>
          <w:sz w:val="21"/>
          <w:spacing w:val="14"/>
        </w:rPr>
        <w:t xml:space="preserve">  DISAGREEMENTS</w:t>
      </w:r>
    </w:p>
    <w:p>
      <w:pPr>
        <w:tabs>
          <w:tab w:pos="547" w:val="left"/>
        </w:tabs>
        <w:spacing w:after="100"/>
        <w:ind w:left="547" w:hanging="547"/>
      </w:pPr>
      <w:r>
        <w:rPr>
          <w:rFonts w:ascii="Cambria" w:hAnsi="Cambria"/>
          <w:b/>
          <w:sz w:val="19"/>
        </w:rPr>
        <w:t>10.1</w:t>
        <w:tab/>
      </w:r>
      <w:r>
        <w:rPr>
          <w:rFonts w:ascii="Cambria" w:hAnsi="Cambria"/>
          <w:sz w:val="19"/>
        </w:rPr>
        <w:t>If the Founders deadlock on a matter under Clause 2.3 for more than fourteen (14) days, they shall meet in good faith to resolve it, and failing that refer it to mediation at the AIAC in Kuala Lumpur.</w:t>
      </w:r>
    </w:p>
    <w:p>
      <w:pPr>
        <w:tabs>
          <w:tab w:pos="547" w:val="left"/>
        </w:tabs>
        <w:spacing w:after="100"/>
        <w:ind w:left="547" w:hanging="547"/>
      </w:pPr>
      <w:r>
        <w:rPr>
          <w:rFonts w:ascii="Cambria" w:hAnsi="Cambria"/>
          <w:b/>
          <w:sz w:val="19"/>
        </w:rPr>
        <w:t>10.2</w:t>
        <w:tab/>
      </w:r>
      <w:r>
        <w:rPr>
          <w:rFonts w:ascii="Cambria" w:hAnsi="Cambria"/>
          <w:sz w:val="19"/>
        </w:rPr>
        <w:t>Any dispute not settled by mediation within sixty (60) days is finally resolved by arbitration at the AIAC, seat Kuala Lumpur, one arbitrator, in English. Either Founder may still go to court for urgent relief protecting IP or confidential information. Everyone keeps performing their obligations while a dispute runs.</w:t>
      </w:r>
    </w:p>
    <w:p>
      <w:pPr>
        <w:keepNext/>
        <w:spacing w:before="220" w:after="100"/>
        <w:pBdr>
          <w:bottom w:val="single" w:sz="6" w:space="3" w:color="DDDDD8"/>
        </w:pBdr>
      </w:pPr>
      <w:r>
        <w:rPr>
          <w:rFonts w:ascii="Calibri" w:hAnsi="Calibri"/>
          <w:b/>
          <w:color w:val="1B4DE4"/>
          <w:sz w:val="21"/>
        </w:rPr>
        <w:t>11.</w:t>
      </w:r>
      <w:r>
        <w:rPr>
          <w:rFonts w:ascii="Calibri" w:hAnsi="Calibri"/>
          <w:b/>
          <w:color w:val="0B0B0C"/>
          <w:sz w:val="21"/>
          <w:spacing w:val="14"/>
        </w:rPr>
        <w:t xml:space="preserve">  GENERAL</w:t>
      </w:r>
    </w:p>
    <w:p>
      <w:pPr>
        <w:tabs>
          <w:tab w:pos="547" w:val="left"/>
        </w:tabs>
        <w:spacing w:after="100"/>
        <w:ind w:left="547" w:hanging="547"/>
      </w:pPr>
      <w:r>
        <w:rPr>
          <w:rFonts w:ascii="Cambria" w:hAnsi="Cambria"/>
          <w:b/>
          <w:sz w:val="19"/>
        </w:rPr>
        <w:t>11.1</w:t>
        <w:tab/>
      </w:r>
      <w:r>
        <w:rPr>
          <w:rFonts w:ascii="Cambria" w:hAnsi="Cambria"/>
          <w:sz w:val="19"/>
        </w:rPr>
        <w:t>This Agreement is governed by the laws of Malaysia. It is the entire agreement between the Founders and replaces anything agreed before it. It may only be amended in writing signed by all three, and shall be reviewed at least once a year.</w:t>
      </w:r>
    </w:p>
    <w:p>
      <w:pPr>
        <w:tabs>
          <w:tab w:pos="547" w:val="left"/>
        </w:tabs>
        <w:spacing w:after="100"/>
        <w:ind w:left="547" w:hanging="547"/>
      </w:pPr>
      <w:r>
        <w:rPr>
          <w:rFonts w:ascii="Cambria" w:hAnsi="Cambria"/>
          <w:b/>
          <w:sz w:val="19"/>
        </w:rPr>
        <w:t>11.2</w:t>
        <w:tab/>
      </w:r>
      <w:r>
        <w:rPr>
          <w:rFonts w:ascii="Cambria" w:hAnsi="Cambria"/>
          <w:sz w:val="19"/>
        </w:rPr>
        <w:t>If any provision is invalid it is severed and the rest stands. It may be signed in counterparts, including scanned or electronic signatures. It runs from the Start Date until all Founders agree in writing to end it, the Company is wound up, or one Founder holds all the shares.</w:t>
      </w:r>
    </w:p>
    <w:p>
      <w:pPr>
        <w:spacing w:after="280" w:before="280"/>
      </w:pPr>
      <w:r>
        <w:rPr>
          <w:rFonts w:ascii="Cambria" w:hAnsi="Cambria"/>
          <w:b/>
          <w:i w:val="0"/>
          <w:color w:val="0B0B0C"/>
          <w:sz w:val="19"/>
        </w:rPr>
        <w:t>Signed by the Founders, each confirming they have read and understood this Agreement, have had the chance to take independent legal advice, and intend to be legally bound by it.</w:t>
      </w:r>
    </w:p>
    <w:tbl>
      <w:tblPr>
        <w:tblW w:type="auto" w:w="0"/>
        <w:jc w:val="center"/>
        <w:tblLook w:firstColumn="1" w:firstRow="1" w:lastColumn="0" w:lastRow="0" w:noHBand="0" w:noVBand="1" w:val="04A0"/>
      </w:tblPr>
      <w:tblGrid>
        <w:gridCol w:w="3106"/>
        <w:gridCol w:w="3106"/>
        <w:gridCol w:w="3106"/>
      </w:tblGrid>
      <w:tr>
        <w:tc>
          <w:tcPr>
            <w:tcW w:type="dxa" w:w="3096"/>
          </w:tcPr>
          <w:p>
            <w:pPr>
              <w:spacing w:before="560" w:after="0"/>
              <w:pBdr>
                <w:bottom w:val="single" w:sz="6" w:space="1" w:color="0B0B0C"/>
              </w:pBdr>
            </w:pPr>
            <w:r/>
            <w:r>
              <w:rPr>
                <w:sz w:val="18"/>
              </w:rPr>
              <w:t xml:space="preserve"> </w:t>
            </w:r>
          </w:p>
          <w:p>
            <w:pPr>
              <w:spacing w:before="60" w:after="0"/>
            </w:pPr>
            <w:r>
              <w:rPr>
                <w:rFonts w:ascii="Calibri" w:hAnsi="Calibri"/>
                <w:b/>
                <w:sz w:val="19"/>
              </w:rPr>
              <w:t>SOH YE WEN</w:t>
            </w:r>
          </w:p>
          <w:p>
            <w:pPr>
              <w:spacing w:after="0"/>
            </w:pPr>
            <w:r>
              <w:rPr>
                <w:rFonts w:ascii="Calibri" w:hAnsi="Calibri"/>
                <w:color w:val="8A8F98"/>
                <w:sz w:val="16"/>
              </w:rPr>
              <w:t>Co-Founder</w:t>
            </w:r>
          </w:p>
        </w:tc>
        <w:tc>
          <w:tcPr>
            <w:tcW w:type="dxa" w:w="3096"/>
          </w:tcPr>
          <w:p>
            <w:pPr>
              <w:spacing w:before="560" w:after="0"/>
              <w:pBdr>
                <w:bottom w:val="single" w:sz="6" w:space="1" w:color="0B0B0C"/>
              </w:pBdr>
            </w:pPr>
            <w:r/>
            <w:r>
              <w:rPr>
                <w:sz w:val="18"/>
              </w:rPr>
              <w:t xml:space="preserve"> </w:t>
            </w:r>
          </w:p>
          <w:p>
            <w:pPr>
              <w:spacing w:before="60" w:after="0"/>
            </w:pPr>
            <w:r>
              <w:rPr>
                <w:rFonts w:ascii="Calibri" w:hAnsi="Calibri"/>
                <w:b/>
                <w:sz w:val="19"/>
              </w:rPr>
              <w:t>LEE YONG HAN</w:t>
            </w:r>
          </w:p>
          <w:p>
            <w:pPr>
              <w:spacing w:after="0"/>
            </w:pPr>
            <w:r>
              <w:rPr>
                <w:rFonts w:ascii="Calibri" w:hAnsi="Calibri"/>
                <w:color w:val="8A8F98"/>
                <w:sz w:val="16"/>
              </w:rPr>
              <w:t>Co-Founder</w:t>
            </w:r>
          </w:p>
        </w:tc>
        <w:tc>
          <w:tcPr>
            <w:tcW w:type="dxa" w:w="3096"/>
          </w:tcPr>
          <w:p>
            <w:pPr>
              <w:spacing w:before="560" w:after="0"/>
              <w:pBdr>
                <w:bottom w:val="single" w:sz="6" w:space="1" w:color="0B0B0C"/>
              </w:pBdr>
            </w:pPr>
            <w:r/>
            <w:r>
              <w:rPr>
                <w:sz w:val="18"/>
              </w:rPr>
              <w:t xml:space="preserve"> </w:t>
            </w:r>
          </w:p>
          <w:p>
            <w:pPr>
              <w:spacing w:before="60" w:after="0"/>
            </w:pPr>
            <w:r>
              <w:rPr>
                <w:rFonts w:ascii="Calibri" w:hAnsi="Calibri"/>
                <w:b/>
                <w:sz w:val="19"/>
              </w:rPr>
              <w:t>IAN CHIN JUN SHENG</w:t>
            </w:r>
          </w:p>
          <w:p>
            <w:pPr>
              <w:spacing w:after="0"/>
            </w:pPr>
            <w:r>
              <w:rPr>
                <w:rFonts w:ascii="Calibri" w:hAnsi="Calibri"/>
                <w:color w:val="8A8F98"/>
                <w:sz w:val="16"/>
              </w:rPr>
              <w:t>Co-Founder</w:t>
            </w:r>
          </w:p>
        </w:tc>
      </w:tr>
      <w:tr>
        <w:tc>
          <w:tcPr>
            <w:tcW w:type="dxa" w:w="3096"/>
          </w:tcPr>
          <w:p>
            <w:pPr>
              <w:spacing w:before="120" w:after="0"/>
            </w:pPr>
            <w:r/>
            <w:r>
              <w:rPr>
                <w:rFonts w:ascii="Cambria" w:hAnsi="Cambria"/>
                <w:sz w:val="17"/>
              </w:rPr>
              <w:t>NRIC No.: ______________________</w:t>
            </w:r>
          </w:p>
        </w:tc>
        <w:tc>
          <w:tcPr>
            <w:tcW w:type="dxa" w:w="3096"/>
          </w:tcPr>
          <w:p>
            <w:pPr>
              <w:spacing w:before="120" w:after="0"/>
            </w:pPr>
            <w:r/>
            <w:r>
              <w:rPr>
                <w:rFonts w:ascii="Cambria" w:hAnsi="Cambria"/>
                <w:sz w:val="17"/>
              </w:rPr>
              <w:t>NRIC No.: ______________________</w:t>
            </w:r>
          </w:p>
        </w:tc>
        <w:tc>
          <w:tcPr>
            <w:tcW w:type="dxa" w:w="3096"/>
          </w:tcPr>
          <w:p>
            <w:pPr>
              <w:spacing w:before="120" w:after="0"/>
            </w:pPr>
            <w:r/>
            <w:r>
              <w:rPr>
                <w:rFonts w:ascii="Cambria" w:hAnsi="Cambria"/>
                <w:sz w:val="17"/>
              </w:rPr>
              <w:t>NRIC No.: ______________________</w:t>
            </w:r>
          </w:p>
        </w:tc>
      </w:tr>
      <w:tr>
        <w:tc>
          <w:tcPr>
            <w:tcW w:type="dxa" w:w="3096"/>
          </w:tcPr>
          <w:p>
            <w:pPr>
              <w:spacing w:before="120" w:after="0"/>
            </w:pPr>
            <w:r/>
            <w:r>
              <w:rPr>
                <w:rFonts w:ascii="Cambria" w:hAnsi="Cambria"/>
                <w:sz w:val="17"/>
              </w:rPr>
              <w:t>Date: __________________________</w:t>
            </w:r>
          </w:p>
        </w:tc>
        <w:tc>
          <w:tcPr>
            <w:tcW w:type="dxa" w:w="3096"/>
          </w:tcPr>
          <w:p>
            <w:pPr>
              <w:spacing w:before="120" w:after="0"/>
            </w:pPr>
            <w:r/>
            <w:r>
              <w:rPr>
                <w:rFonts w:ascii="Cambria" w:hAnsi="Cambria"/>
                <w:sz w:val="17"/>
              </w:rPr>
              <w:t>Date: __________________________</w:t>
            </w:r>
          </w:p>
        </w:tc>
        <w:tc>
          <w:tcPr>
            <w:tcW w:type="dxa" w:w="3096"/>
          </w:tcPr>
          <w:p>
            <w:pPr>
              <w:spacing w:before="120" w:after="0"/>
            </w:pPr>
            <w:r/>
            <w:r>
              <w:rPr>
                <w:rFonts w:ascii="Cambria" w:hAnsi="Cambria"/>
                <w:sz w:val="17"/>
              </w:rPr>
              <w:t>Date: __________________________</w:t>
            </w:r>
          </w:p>
        </w:tc>
      </w:tr>
    </w:tbl>
    <w:p>
      <w:pPr>
        <w:spacing w:after="100" w:before="320"/>
      </w:pPr>
      <w:r>
        <w:rPr>
          <w:rFonts w:ascii="Cambria" w:hAnsi="Cambria"/>
          <w:b w:val="0"/>
          <w:i w:val="0"/>
          <w:color w:val="0B0B0C"/>
          <w:sz w:val="17"/>
        </w:rPr>
        <w:t>Witness: ________________________________    Name: ______________________________    NRIC No.: ______________________</w:t>
      </w:r>
    </w:p>
    <w:p>
      <w:r>
        <w:br w:type="page"/>
      </w:r>
    </w:p>
    <w:p>
      <w:pPr>
        <w:spacing w:after="40"/>
      </w:pPr>
      <w:r>
        <w:rPr>
          <w:rFonts w:ascii="Calibri" w:hAnsi="Calibri"/>
          <w:b/>
          <w:color w:val="1B4DE4"/>
          <w:sz w:val="17"/>
          <w:spacing w:val="60"/>
        </w:rPr>
        <w:t>SCHEDULE</w:t>
      </w:r>
    </w:p>
    <w:p>
      <w:pPr>
        <w:spacing w:after="40" w:before="0"/>
      </w:pPr>
      <w:r>
        <w:rPr>
          <w:rFonts w:ascii="Calibri" w:hAnsi="Calibri"/>
          <w:b/>
          <w:i w:val="0"/>
          <w:color w:val="0B0B0C"/>
          <w:sz w:val="30"/>
        </w:rPr>
        <w:t>Roles, Equity and Contributions</w:t>
      </w:r>
    </w:p>
    <w:p>
      <w:pPr>
        <w:spacing w:after="200"/>
        <w:pBdr>
          <w:top w:val="single" w:sz="8" w:space="3" w:color="0B0B0C"/>
        </w:pBdr>
      </w:pPr>
    </w:p>
    <w:p>
      <w:pPr>
        <w:spacing w:after="100" w:before="40"/>
      </w:pPr>
      <w:r>
        <w:rPr>
          <w:rFonts w:ascii="Calibri" w:hAnsi="Calibri"/>
          <w:b/>
          <w:i w:val="0"/>
          <w:color w:val="0B0B0C"/>
          <w:sz w:val="20"/>
        </w:rPr>
        <w:t>Part 1 — Roles and commitment</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160"/>
            <w:shd w:val="clear" w:color="auto" w:fill="0B0B0C"/>
          </w:tcPr>
          <w:p>
            <w:pPr>
              <w:spacing w:before="40" w:after="40"/>
              <w:jc w:val="center"/>
            </w:pPr>
            <w:r/>
            <w:r>
              <w:rPr>
                <w:rFonts w:ascii="Calibri" w:hAnsi="Calibri"/>
                <w:b/>
                <w:color w:val="FFFFFF"/>
                <w:sz w:val="17"/>
              </w:rPr>
              <w:t>Founder</w:t>
            </w:r>
          </w:p>
        </w:tc>
        <w:tc>
          <w:tcPr>
            <w:tcW w:type="dxa" w:w="2736"/>
            <w:shd w:val="clear" w:color="auto" w:fill="0B0B0C"/>
          </w:tcPr>
          <w:p>
            <w:pPr>
              <w:spacing w:before="40" w:after="40"/>
              <w:jc w:val="center"/>
            </w:pPr>
            <w:r/>
            <w:r>
              <w:rPr>
                <w:rFonts w:ascii="Calibri" w:hAnsi="Calibri"/>
                <w:b/>
                <w:color w:val="FFFFFF"/>
                <w:sz w:val="17"/>
              </w:rPr>
              <w:t>Role</w:t>
            </w:r>
          </w:p>
        </w:tc>
        <w:tc>
          <w:tcPr>
            <w:tcW w:type="dxa" w:w="2808"/>
            <w:shd w:val="clear" w:color="auto" w:fill="0B0B0C"/>
          </w:tcPr>
          <w:p>
            <w:pPr>
              <w:spacing w:before="40" w:after="40"/>
              <w:jc w:val="center"/>
            </w:pPr>
            <w:r/>
            <w:r>
              <w:rPr>
                <w:rFonts w:ascii="Calibri" w:hAnsi="Calibri"/>
                <w:b/>
                <w:color w:val="FFFFFF"/>
                <w:sz w:val="17"/>
              </w:rPr>
              <w:t>Domain of final say</w:t>
            </w:r>
          </w:p>
        </w:tc>
        <w:tc>
          <w:tcPr>
            <w:tcW w:type="dxa" w:w="1584"/>
            <w:shd w:val="clear" w:color="auto" w:fill="0B0B0C"/>
          </w:tcPr>
          <w:p>
            <w:pPr>
              <w:spacing w:before="40" w:after="40"/>
              <w:jc w:val="center"/>
            </w:pPr>
            <w:r/>
            <w:r>
              <w:rPr>
                <w:rFonts w:ascii="Calibri" w:hAnsi="Calibri"/>
                <w:b/>
                <w:color w:val="FFFFFF"/>
                <w:sz w:val="17"/>
              </w:rPr>
              <w:t>Hours / week</w:t>
            </w:r>
          </w:p>
        </w:tc>
      </w:tr>
      <w:tr>
        <w:tc>
          <w:tcPr>
            <w:tcW w:type="dxa" w:w="2160"/>
          </w:tcPr>
          <w:p>
            <w:pPr>
              <w:spacing w:before="40" w:after="40"/>
            </w:pPr>
            <w:r/>
            <w:r>
              <w:rPr>
                <w:rFonts w:ascii="Cambria" w:hAnsi="Cambria"/>
                <w:sz w:val="17"/>
              </w:rPr>
              <w:t>Soh Ye Wen</w:t>
            </w:r>
          </w:p>
        </w:tc>
        <w:tc>
          <w:tcPr>
            <w:tcW w:type="dxa" w:w="2736"/>
          </w:tcPr>
          <w:p>
            <w:pPr>
              <w:spacing w:before="40" w:after="40"/>
            </w:pPr>
            <w:r/>
            <w:r>
              <w:rPr>
                <w:rFonts w:ascii="Cambria" w:hAnsi="Cambria"/>
                <w:sz w:val="17"/>
              </w:rPr>
              <w:t>____________________</w:t>
            </w:r>
          </w:p>
        </w:tc>
        <w:tc>
          <w:tcPr>
            <w:tcW w:type="dxa" w:w="2808"/>
          </w:tcPr>
          <w:p>
            <w:pPr>
              <w:spacing w:before="40" w:after="40"/>
            </w:pPr>
            <w:r/>
            <w:r>
              <w:rPr>
                <w:rFonts w:ascii="Cambria" w:hAnsi="Cambria"/>
                <w:sz w:val="17"/>
              </w:rPr>
              <w:t>____________________</w:t>
            </w:r>
          </w:p>
        </w:tc>
        <w:tc>
          <w:tcPr>
            <w:tcW w:type="dxa" w:w="1584"/>
          </w:tcPr>
          <w:p>
            <w:pPr>
              <w:spacing w:before="40" w:after="40"/>
              <w:jc w:val="center"/>
            </w:pPr>
            <w:r/>
            <w:r>
              <w:rPr>
                <w:rFonts w:ascii="Cambria" w:hAnsi="Cambria"/>
                <w:sz w:val="17"/>
              </w:rPr>
              <w:t>________</w:t>
            </w:r>
          </w:p>
        </w:tc>
      </w:tr>
      <w:tr>
        <w:tc>
          <w:tcPr>
            <w:tcW w:type="dxa" w:w="2160"/>
            <w:shd w:val="clear" w:color="auto" w:fill="F6F6F4"/>
          </w:tcPr>
          <w:p>
            <w:pPr>
              <w:spacing w:before="40" w:after="40"/>
            </w:pPr>
            <w:r/>
            <w:r>
              <w:rPr>
                <w:rFonts w:ascii="Cambria" w:hAnsi="Cambria"/>
                <w:sz w:val="17"/>
              </w:rPr>
              <w:t>Lee Yong Han</w:t>
            </w:r>
          </w:p>
        </w:tc>
        <w:tc>
          <w:tcPr>
            <w:tcW w:type="dxa" w:w="2736"/>
            <w:shd w:val="clear" w:color="auto" w:fill="F6F6F4"/>
          </w:tcPr>
          <w:p>
            <w:pPr>
              <w:spacing w:before="40" w:after="40"/>
            </w:pPr>
            <w:r/>
            <w:r>
              <w:rPr>
                <w:rFonts w:ascii="Cambria" w:hAnsi="Cambria"/>
                <w:sz w:val="17"/>
              </w:rPr>
              <w:t>____________________</w:t>
            </w:r>
          </w:p>
        </w:tc>
        <w:tc>
          <w:tcPr>
            <w:tcW w:type="dxa" w:w="2808"/>
            <w:shd w:val="clear" w:color="auto" w:fill="F6F6F4"/>
          </w:tcPr>
          <w:p>
            <w:pPr>
              <w:spacing w:before="40" w:after="40"/>
            </w:pPr>
            <w:r/>
            <w:r>
              <w:rPr>
                <w:rFonts w:ascii="Cambria" w:hAnsi="Cambria"/>
                <w:sz w:val="17"/>
              </w:rPr>
              <w:t>____________________</w:t>
            </w:r>
          </w:p>
        </w:tc>
        <w:tc>
          <w:tcPr>
            <w:tcW w:type="dxa" w:w="1584"/>
            <w:shd w:val="clear" w:color="auto" w:fill="F6F6F4"/>
          </w:tcPr>
          <w:p>
            <w:pPr>
              <w:spacing w:before="40" w:after="40"/>
              <w:jc w:val="center"/>
            </w:pPr>
            <w:r/>
            <w:r>
              <w:rPr>
                <w:rFonts w:ascii="Cambria" w:hAnsi="Cambria"/>
                <w:sz w:val="17"/>
              </w:rPr>
              <w:t>________</w:t>
            </w:r>
          </w:p>
        </w:tc>
      </w:tr>
      <w:tr>
        <w:tc>
          <w:tcPr>
            <w:tcW w:type="dxa" w:w="2160"/>
          </w:tcPr>
          <w:p>
            <w:pPr>
              <w:spacing w:before="40" w:after="40"/>
            </w:pPr>
            <w:r/>
            <w:r>
              <w:rPr>
                <w:rFonts w:ascii="Cambria" w:hAnsi="Cambria"/>
                <w:sz w:val="17"/>
              </w:rPr>
              <w:t>Ian Chin Jun Sheng</w:t>
            </w:r>
          </w:p>
        </w:tc>
        <w:tc>
          <w:tcPr>
            <w:tcW w:type="dxa" w:w="2736"/>
          </w:tcPr>
          <w:p>
            <w:pPr>
              <w:spacing w:before="40" w:after="40"/>
            </w:pPr>
            <w:r/>
            <w:r>
              <w:rPr>
                <w:rFonts w:ascii="Cambria" w:hAnsi="Cambria"/>
                <w:sz w:val="17"/>
              </w:rPr>
              <w:t>____________________</w:t>
            </w:r>
          </w:p>
        </w:tc>
        <w:tc>
          <w:tcPr>
            <w:tcW w:type="dxa" w:w="2808"/>
          </w:tcPr>
          <w:p>
            <w:pPr>
              <w:spacing w:before="40" w:after="40"/>
            </w:pPr>
            <w:r/>
            <w:r>
              <w:rPr>
                <w:rFonts w:ascii="Cambria" w:hAnsi="Cambria"/>
                <w:sz w:val="17"/>
              </w:rPr>
              <w:t>____________________</w:t>
            </w:r>
          </w:p>
        </w:tc>
        <w:tc>
          <w:tcPr>
            <w:tcW w:type="dxa" w:w="1584"/>
          </w:tcPr>
          <w:p>
            <w:pPr>
              <w:spacing w:before="40" w:after="40"/>
              <w:jc w:val="center"/>
            </w:pPr>
            <w:r/>
            <w:r>
              <w:rPr>
                <w:rFonts w:ascii="Cambria" w:hAnsi="Cambria"/>
                <w:sz w:val="17"/>
              </w:rPr>
              <w:t>________</w:t>
            </w:r>
          </w:p>
        </w:tc>
      </w:tr>
    </w:tbl>
    <w:p>
      <w:pPr>
        <w:spacing w:after="100" w:before="80"/>
      </w:pPr>
      <w:r>
        <w:rPr>
          <w:rFonts w:ascii="Cambria" w:hAnsi="Cambria"/>
          <w:b w:val="0"/>
          <w:i/>
          <w:color w:val="5B5F66"/>
          <w:sz w:val="17"/>
        </w:rPr>
        <w:t>Three-founder default: (1) product and engineering, (2) sales and customers, (3) operations, delivery and finance. One named owner per domain — shared ownership of everything is the usual cause of deadlock.</w:t>
      </w:r>
    </w:p>
    <w:p>
      <w:pPr>
        <w:spacing w:after="80" w:before="200"/>
      </w:pPr>
      <w:r>
        <w:rPr>
          <w:rFonts w:ascii="Calibri" w:hAnsi="Calibri"/>
          <w:b/>
          <w:i w:val="0"/>
          <w:color w:val="0B0B0C"/>
          <w:sz w:val="20"/>
        </w:rPr>
        <w:t>Part 2 — Equity split</w:t>
      </w:r>
    </w:p>
    <w:p>
      <w:pPr>
        <w:spacing w:after="120" w:before="0"/>
      </w:pPr>
      <w:r>
        <w:rPr>
          <w:rFonts w:ascii="Cambria" w:hAnsi="Cambria"/>
          <w:b w:val="0"/>
          <w:i w:val="0"/>
          <w:color w:val="0B0B0C"/>
          <w:sz w:val="18"/>
        </w:rPr>
        <w:t>Score each Founder 1–10 per factor. Agree the weights before filling in any scores. Points = Σ (weight × score). Equity % = your points ÷ total points.</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4824"/>
            <w:shd w:val="clear" w:color="auto" w:fill="0B0B0C"/>
          </w:tcPr>
          <w:p>
            <w:pPr>
              <w:spacing w:before="40" w:after="40"/>
              <w:jc w:val="center"/>
            </w:pPr>
            <w:r/>
            <w:r>
              <w:rPr>
                <w:rFonts w:ascii="Calibri" w:hAnsi="Calibri"/>
                <w:b/>
                <w:color w:val="FFFFFF"/>
                <w:sz w:val="17"/>
              </w:rPr>
              <w:t>Factor</w:t>
            </w:r>
          </w:p>
        </w:tc>
        <w:tc>
          <w:tcPr>
            <w:tcW w:type="dxa" w:w="1008"/>
            <w:shd w:val="clear" w:color="auto" w:fill="0B0B0C"/>
          </w:tcPr>
          <w:p>
            <w:pPr>
              <w:spacing w:before="40" w:after="40"/>
              <w:jc w:val="center"/>
            </w:pPr>
            <w:r/>
            <w:r>
              <w:rPr>
                <w:rFonts w:ascii="Calibri" w:hAnsi="Calibri"/>
                <w:b/>
                <w:color w:val="FFFFFF"/>
                <w:sz w:val="17"/>
              </w:rPr>
              <w:t>Weight</w:t>
            </w:r>
          </w:p>
        </w:tc>
        <w:tc>
          <w:tcPr>
            <w:tcW w:type="dxa" w:w="1152"/>
            <w:shd w:val="clear" w:color="auto" w:fill="0B0B0C"/>
          </w:tcPr>
          <w:p>
            <w:pPr>
              <w:spacing w:before="40" w:after="40"/>
              <w:jc w:val="center"/>
            </w:pPr>
            <w:r/>
            <w:r>
              <w:rPr>
                <w:rFonts w:ascii="Calibri" w:hAnsi="Calibri"/>
                <w:b/>
                <w:color w:val="FFFFFF"/>
                <w:sz w:val="17"/>
              </w:rPr>
              <w:t>Soh</w:t>
            </w:r>
          </w:p>
        </w:tc>
        <w:tc>
          <w:tcPr>
            <w:tcW w:type="dxa" w:w="1152"/>
            <w:shd w:val="clear" w:color="auto" w:fill="0B0B0C"/>
          </w:tcPr>
          <w:p>
            <w:pPr>
              <w:spacing w:before="40" w:after="40"/>
              <w:jc w:val="center"/>
            </w:pPr>
            <w:r/>
            <w:r>
              <w:rPr>
                <w:rFonts w:ascii="Calibri" w:hAnsi="Calibri"/>
                <w:b/>
                <w:color w:val="FFFFFF"/>
                <w:sz w:val="17"/>
              </w:rPr>
              <w:t>Lee</w:t>
            </w:r>
          </w:p>
        </w:tc>
        <w:tc>
          <w:tcPr>
            <w:tcW w:type="dxa" w:w="1152"/>
            <w:shd w:val="clear" w:color="auto" w:fill="0B0B0C"/>
          </w:tcPr>
          <w:p>
            <w:pPr>
              <w:spacing w:before="40" w:after="40"/>
              <w:jc w:val="center"/>
            </w:pPr>
            <w:r/>
            <w:r>
              <w:rPr>
                <w:rFonts w:ascii="Calibri" w:hAnsi="Calibri"/>
                <w:b/>
                <w:color w:val="FFFFFF"/>
                <w:sz w:val="17"/>
              </w:rPr>
              <w:t>Ian</w:t>
            </w:r>
          </w:p>
        </w:tc>
      </w:tr>
      <w:tr>
        <w:tc>
          <w:tcPr>
            <w:tcW w:type="dxa" w:w="4824"/>
          </w:tcPr>
          <w:p>
            <w:pPr>
              <w:spacing w:before="40" w:after="40"/>
            </w:pPr>
            <w:r/>
            <w:r>
              <w:rPr>
                <w:rFonts w:ascii="Cambria" w:hAnsi="Cambria"/>
                <w:sz w:val="17"/>
              </w:rPr>
              <w:t>Time committed — hours actually worked, full-time vs part-time</w:t>
            </w:r>
          </w:p>
        </w:tc>
        <w:tc>
          <w:tcPr>
            <w:tcW w:type="dxa" w:w="1008"/>
          </w:tcPr>
          <w:p>
            <w:pPr>
              <w:spacing w:before="40" w:after="40"/>
              <w:jc w:val="center"/>
            </w:pPr>
            <w:r/>
            <w:r>
              <w:rPr>
                <w:rFonts w:ascii="Cambria" w:hAnsi="Cambria"/>
                <w:sz w:val="17"/>
              </w:rPr>
              <w:t>25%</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r>
      <w:tr>
        <w:tc>
          <w:tcPr>
            <w:tcW w:type="dxa" w:w="4824"/>
            <w:shd w:val="clear" w:color="auto" w:fill="F6F6F4"/>
          </w:tcPr>
          <w:p>
            <w:pPr>
              <w:spacing w:before="40" w:after="40"/>
            </w:pPr>
            <w:r/>
            <w:r>
              <w:rPr>
                <w:rFonts w:ascii="Cambria" w:hAnsi="Cambria"/>
                <w:sz w:val="17"/>
              </w:rPr>
              <w:t>Opportunity cost and risk — salary, job or study given up</w:t>
            </w:r>
          </w:p>
        </w:tc>
        <w:tc>
          <w:tcPr>
            <w:tcW w:type="dxa" w:w="1008"/>
            <w:shd w:val="clear" w:color="auto" w:fill="F6F6F4"/>
          </w:tcPr>
          <w:p>
            <w:pPr>
              <w:spacing w:before="40" w:after="40"/>
              <w:jc w:val="center"/>
            </w:pPr>
            <w:r/>
            <w:r>
              <w:rPr>
                <w:rFonts w:ascii="Cambria" w:hAnsi="Cambria"/>
                <w:sz w:val="17"/>
              </w:rPr>
              <w:t>20%</w:t>
            </w:r>
          </w:p>
        </w:tc>
        <w:tc>
          <w:tcPr>
            <w:tcW w:type="dxa" w:w="1152"/>
            <w:shd w:val="clear" w:color="auto" w:fill="F6F6F4"/>
          </w:tcPr>
          <w:p>
            <w:pPr>
              <w:spacing w:before="40" w:after="40"/>
              <w:jc w:val="center"/>
            </w:pPr>
            <w:r/>
            <w:r>
              <w:rPr>
                <w:rFonts w:ascii="Cambria" w:hAnsi="Cambria"/>
                <w:sz w:val="17"/>
              </w:rPr>
              <w:t>____</w:t>
            </w:r>
          </w:p>
        </w:tc>
        <w:tc>
          <w:tcPr>
            <w:tcW w:type="dxa" w:w="1152"/>
            <w:shd w:val="clear" w:color="auto" w:fill="F6F6F4"/>
          </w:tcPr>
          <w:p>
            <w:pPr>
              <w:spacing w:before="40" w:after="40"/>
              <w:jc w:val="center"/>
            </w:pPr>
            <w:r/>
            <w:r>
              <w:rPr>
                <w:rFonts w:ascii="Cambria" w:hAnsi="Cambria"/>
                <w:sz w:val="17"/>
              </w:rPr>
              <w:t>____</w:t>
            </w:r>
          </w:p>
        </w:tc>
        <w:tc>
          <w:tcPr>
            <w:tcW w:type="dxa" w:w="1152"/>
            <w:shd w:val="clear" w:color="auto" w:fill="F6F6F4"/>
          </w:tcPr>
          <w:p>
            <w:pPr>
              <w:spacing w:before="40" w:after="40"/>
              <w:jc w:val="center"/>
            </w:pPr>
            <w:r/>
            <w:r>
              <w:rPr>
                <w:rFonts w:ascii="Cambria" w:hAnsi="Cambria"/>
                <w:sz w:val="17"/>
              </w:rPr>
              <w:t>____</w:t>
            </w:r>
          </w:p>
        </w:tc>
      </w:tr>
      <w:tr>
        <w:tc>
          <w:tcPr>
            <w:tcW w:type="dxa" w:w="4824"/>
          </w:tcPr>
          <w:p>
            <w:pPr>
              <w:spacing w:before="40" w:after="40"/>
            </w:pPr>
            <w:r/>
            <w:r>
              <w:rPr>
                <w:rFonts w:ascii="Cambria" w:hAnsi="Cambria"/>
                <w:sz w:val="17"/>
              </w:rPr>
              <w:t>Expertise — skills and customer relationships the Business can't buy cheaply</w:t>
            </w:r>
          </w:p>
        </w:tc>
        <w:tc>
          <w:tcPr>
            <w:tcW w:type="dxa" w:w="1008"/>
          </w:tcPr>
          <w:p>
            <w:pPr>
              <w:spacing w:before="40" w:after="40"/>
              <w:jc w:val="center"/>
            </w:pPr>
            <w:r/>
            <w:r>
              <w:rPr>
                <w:rFonts w:ascii="Cambria" w:hAnsi="Cambria"/>
                <w:sz w:val="17"/>
              </w:rPr>
              <w:t>15%</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r>
      <w:tr>
        <w:tc>
          <w:tcPr>
            <w:tcW w:type="dxa" w:w="4824"/>
            <w:shd w:val="clear" w:color="auto" w:fill="F6F6F4"/>
          </w:tcPr>
          <w:p>
            <w:pPr>
              <w:spacing w:before="40" w:after="40"/>
            </w:pPr>
            <w:r/>
            <w:r>
              <w:rPr>
                <w:rFonts w:ascii="Cambria" w:hAnsi="Cambria"/>
                <w:sz w:val="17"/>
              </w:rPr>
              <w:t>Forward responsibility — who carries revenue, code, delivery</w:t>
            </w:r>
          </w:p>
        </w:tc>
        <w:tc>
          <w:tcPr>
            <w:tcW w:type="dxa" w:w="1008"/>
            <w:shd w:val="clear" w:color="auto" w:fill="F6F6F4"/>
          </w:tcPr>
          <w:p>
            <w:pPr>
              <w:spacing w:before="40" w:after="40"/>
              <w:jc w:val="center"/>
            </w:pPr>
            <w:r/>
            <w:r>
              <w:rPr>
                <w:rFonts w:ascii="Cambria" w:hAnsi="Cambria"/>
                <w:sz w:val="17"/>
              </w:rPr>
              <w:t>15%</w:t>
            </w:r>
          </w:p>
        </w:tc>
        <w:tc>
          <w:tcPr>
            <w:tcW w:type="dxa" w:w="1152"/>
            <w:shd w:val="clear" w:color="auto" w:fill="F6F6F4"/>
          </w:tcPr>
          <w:p>
            <w:pPr>
              <w:spacing w:before="40" w:after="40"/>
              <w:jc w:val="center"/>
            </w:pPr>
            <w:r/>
            <w:r>
              <w:rPr>
                <w:rFonts w:ascii="Cambria" w:hAnsi="Cambria"/>
                <w:sz w:val="17"/>
              </w:rPr>
              <w:t>____</w:t>
            </w:r>
          </w:p>
        </w:tc>
        <w:tc>
          <w:tcPr>
            <w:tcW w:type="dxa" w:w="1152"/>
            <w:shd w:val="clear" w:color="auto" w:fill="F6F6F4"/>
          </w:tcPr>
          <w:p>
            <w:pPr>
              <w:spacing w:before="40" w:after="40"/>
              <w:jc w:val="center"/>
            </w:pPr>
            <w:r/>
            <w:r>
              <w:rPr>
                <w:rFonts w:ascii="Cambria" w:hAnsi="Cambria"/>
                <w:sz w:val="17"/>
              </w:rPr>
              <w:t>____</w:t>
            </w:r>
          </w:p>
        </w:tc>
        <w:tc>
          <w:tcPr>
            <w:tcW w:type="dxa" w:w="1152"/>
            <w:shd w:val="clear" w:color="auto" w:fill="F6F6F4"/>
          </w:tcPr>
          <w:p>
            <w:pPr>
              <w:spacing w:before="40" w:after="40"/>
              <w:jc w:val="center"/>
            </w:pPr>
            <w:r/>
            <w:r>
              <w:rPr>
                <w:rFonts w:ascii="Cambria" w:hAnsi="Cambria"/>
                <w:sz w:val="17"/>
              </w:rPr>
              <w:t>____</w:t>
            </w:r>
          </w:p>
        </w:tc>
      </w:tr>
      <w:tr>
        <w:tc>
          <w:tcPr>
            <w:tcW w:type="dxa" w:w="4824"/>
          </w:tcPr>
          <w:p>
            <w:pPr>
              <w:spacing w:before="40" w:after="40"/>
            </w:pPr>
            <w:r/>
            <w:r>
              <w:rPr>
                <w:rFonts w:ascii="Cambria" w:hAnsi="Cambria"/>
                <w:sz w:val="17"/>
              </w:rPr>
              <w:t>Capital contributed — cash in, and how early</w:t>
            </w:r>
          </w:p>
        </w:tc>
        <w:tc>
          <w:tcPr>
            <w:tcW w:type="dxa" w:w="1008"/>
          </w:tcPr>
          <w:p>
            <w:pPr>
              <w:spacing w:before="40" w:after="40"/>
              <w:jc w:val="center"/>
            </w:pPr>
            <w:r/>
            <w:r>
              <w:rPr>
                <w:rFonts w:ascii="Cambria" w:hAnsi="Cambria"/>
                <w:sz w:val="17"/>
              </w:rPr>
              <w:t>15%</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r>
      <w:tr>
        <w:tc>
          <w:tcPr>
            <w:tcW w:type="dxa" w:w="4824"/>
            <w:shd w:val="clear" w:color="auto" w:fill="F6F6F4"/>
          </w:tcPr>
          <w:p>
            <w:pPr>
              <w:spacing w:before="40" w:after="40"/>
            </w:pPr>
            <w:r/>
            <w:r>
              <w:rPr>
                <w:rFonts w:ascii="Cambria" w:hAnsi="Cambria"/>
                <w:sz w:val="17"/>
              </w:rPr>
              <w:t>Idea and origination — weighted low on purpose; execution creates the value</w:t>
            </w:r>
          </w:p>
        </w:tc>
        <w:tc>
          <w:tcPr>
            <w:tcW w:type="dxa" w:w="1008"/>
            <w:shd w:val="clear" w:color="auto" w:fill="F6F6F4"/>
          </w:tcPr>
          <w:p>
            <w:pPr>
              <w:spacing w:before="40" w:after="40"/>
              <w:jc w:val="center"/>
            </w:pPr>
            <w:r/>
            <w:r>
              <w:rPr>
                <w:rFonts w:ascii="Cambria" w:hAnsi="Cambria"/>
                <w:sz w:val="17"/>
              </w:rPr>
              <w:t>10%</w:t>
            </w:r>
          </w:p>
        </w:tc>
        <w:tc>
          <w:tcPr>
            <w:tcW w:type="dxa" w:w="1152"/>
            <w:shd w:val="clear" w:color="auto" w:fill="F6F6F4"/>
          </w:tcPr>
          <w:p>
            <w:pPr>
              <w:spacing w:before="40" w:after="40"/>
              <w:jc w:val="center"/>
            </w:pPr>
            <w:r/>
            <w:r>
              <w:rPr>
                <w:rFonts w:ascii="Cambria" w:hAnsi="Cambria"/>
                <w:sz w:val="17"/>
              </w:rPr>
              <w:t>____</w:t>
            </w:r>
          </w:p>
        </w:tc>
        <w:tc>
          <w:tcPr>
            <w:tcW w:type="dxa" w:w="1152"/>
            <w:shd w:val="clear" w:color="auto" w:fill="F6F6F4"/>
          </w:tcPr>
          <w:p>
            <w:pPr>
              <w:spacing w:before="40" w:after="40"/>
              <w:jc w:val="center"/>
            </w:pPr>
            <w:r/>
            <w:r>
              <w:rPr>
                <w:rFonts w:ascii="Cambria" w:hAnsi="Cambria"/>
                <w:sz w:val="17"/>
              </w:rPr>
              <w:t>____</w:t>
            </w:r>
          </w:p>
        </w:tc>
        <w:tc>
          <w:tcPr>
            <w:tcW w:type="dxa" w:w="1152"/>
            <w:shd w:val="clear" w:color="auto" w:fill="F6F6F4"/>
          </w:tcPr>
          <w:p>
            <w:pPr>
              <w:spacing w:before="40" w:after="40"/>
              <w:jc w:val="center"/>
            </w:pPr>
            <w:r/>
            <w:r>
              <w:rPr>
                <w:rFonts w:ascii="Cambria" w:hAnsi="Cambria"/>
                <w:sz w:val="17"/>
              </w:rPr>
              <w:t>____</w:t>
            </w:r>
          </w:p>
        </w:tc>
      </w:tr>
      <w:tr>
        <w:tc>
          <w:tcPr>
            <w:tcW w:type="dxa" w:w="4824"/>
          </w:tcPr>
          <w:p>
            <w:pPr>
              <w:spacing w:before="40" w:after="40"/>
            </w:pPr>
            <w:r/>
            <w:r>
              <w:rPr>
                <w:rFonts w:ascii="Cambria" w:hAnsi="Cambria"/>
                <w:sz w:val="17"/>
              </w:rPr>
              <w:t>TOTAL POINTS</w:t>
            </w:r>
          </w:p>
        </w:tc>
        <w:tc>
          <w:tcPr>
            <w:tcW w:type="dxa" w:w="1008"/>
          </w:tcPr>
          <w:p>
            <w:pPr>
              <w:spacing w:before="40" w:after="40"/>
              <w:jc w:val="center"/>
            </w:pPr>
            <w:r/>
            <w:r>
              <w:rPr>
                <w:rFonts w:ascii="Cambria" w:hAnsi="Cambria"/>
                <w:sz w:val="17"/>
              </w:rPr>
              <w:t>100%</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c>
          <w:tcPr>
            <w:tcW w:type="dxa" w:w="1152"/>
          </w:tcPr>
          <w:p>
            <w:pPr>
              <w:spacing w:before="40" w:after="40"/>
              <w:jc w:val="center"/>
            </w:pPr>
            <w:r/>
            <w:r>
              <w:rPr>
                <w:rFonts w:ascii="Cambria" w:hAnsi="Cambria"/>
                <w:sz w:val="17"/>
              </w:rPr>
              <w:t>____</w:t>
            </w:r>
          </w:p>
        </w:tc>
      </w:tr>
      <w:tr>
        <w:tc>
          <w:tcPr>
            <w:tcW w:type="dxa" w:w="4824"/>
            <w:shd w:val="clear" w:color="auto" w:fill="F6F6F4"/>
          </w:tcPr>
          <w:p>
            <w:pPr>
              <w:spacing w:before="40" w:after="40"/>
            </w:pPr>
            <w:r/>
            <w:r>
              <w:rPr>
                <w:rFonts w:ascii="Cambria" w:hAnsi="Cambria"/>
                <w:sz w:val="17"/>
              </w:rPr>
              <w:t>AGREED EQUITY %</w:t>
            </w:r>
          </w:p>
        </w:tc>
        <w:tc>
          <w:tcPr>
            <w:tcW w:type="dxa" w:w="1008"/>
            <w:shd w:val="clear" w:color="auto" w:fill="F6F6F4"/>
          </w:tcPr>
          <w:p>
            <w:pPr>
              <w:spacing w:before="40" w:after="40"/>
              <w:jc w:val="center"/>
            </w:pPr>
            <w:r/>
            <w:r>
              <w:rPr>
                <w:rFonts w:ascii="Cambria" w:hAnsi="Cambria"/>
                <w:sz w:val="17"/>
              </w:rPr>
            </w:r>
          </w:p>
        </w:tc>
        <w:tc>
          <w:tcPr>
            <w:tcW w:type="dxa" w:w="1152"/>
            <w:shd w:val="clear" w:color="auto" w:fill="F6F6F4"/>
          </w:tcPr>
          <w:p>
            <w:pPr>
              <w:spacing w:before="40" w:after="40"/>
              <w:jc w:val="center"/>
            </w:pPr>
            <w:r/>
            <w:r>
              <w:rPr>
                <w:rFonts w:ascii="Cambria" w:hAnsi="Cambria"/>
                <w:sz w:val="17"/>
              </w:rPr>
              <w:t>____ %</w:t>
            </w:r>
          </w:p>
        </w:tc>
        <w:tc>
          <w:tcPr>
            <w:tcW w:type="dxa" w:w="1152"/>
            <w:shd w:val="clear" w:color="auto" w:fill="F6F6F4"/>
          </w:tcPr>
          <w:p>
            <w:pPr>
              <w:spacing w:before="40" w:after="40"/>
              <w:jc w:val="center"/>
            </w:pPr>
            <w:r/>
            <w:r>
              <w:rPr>
                <w:rFonts w:ascii="Cambria" w:hAnsi="Cambria"/>
                <w:sz w:val="17"/>
              </w:rPr>
              <w:t>____ %</w:t>
            </w:r>
          </w:p>
        </w:tc>
        <w:tc>
          <w:tcPr>
            <w:tcW w:type="dxa" w:w="1152"/>
            <w:shd w:val="clear" w:color="auto" w:fill="F6F6F4"/>
          </w:tcPr>
          <w:p>
            <w:pPr>
              <w:spacing w:before="40" w:after="40"/>
              <w:jc w:val="center"/>
            </w:pPr>
            <w:r/>
            <w:r>
              <w:rPr>
                <w:rFonts w:ascii="Cambria" w:hAnsi="Cambria"/>
                <w:sz w:val="17"/>
              </w:rPr>
              <w:t>____ %</w:t>
            </w:r>
          </w:p>
        </w:tc>
      </w:tr>
    </w:tbl>
    <w:p>
      <w:pPr>
        <w:spacing w:after="100" w:before="80"/>
      </w:pPr>
      <w:r>
        <w:rPr>
          <w:rFonts w:ascii="Cambria" w:hAnsi="Cambria"/>
          <w:b w:val="0"/>
          <w:i/>
          <w:color w:val="5B5F66"/>
          <w:sz w:val="17"/>
        </w:rPr>
        <w:t>In practice this method lands near an even split for a genuine three-way team. If the numbers come out close, take 33.33 / 33.33 / 33.34. Four-year vesting plus the all-must-agree list in Clause 2.3 protects everyone better than an argued-over percentage.</w:t>
      </w:r>
    </w:p>
    <w:p>
      <w:pPr>
        <w:spacing w:after="80" w:before="200"/>
      </w:pPr>
      <w:r>
        <w:rPr>
          <w:rFonts w:ascii="Calibri" w:hAnsi="Calibri"/>
          <w:b/>
          <w:i w:val="0"/>
          <w:color w:val="0B0B0C"/>
          <w:sz w:val="20"/>
        </w:rPr>
        <w:t>Part 3 — Excluded pre-existing IP (Clause 5.2)</w:t>
      </w:r>
    </w:p>
    <w:tbl>
      <w:tblPr>
        <w:tblStyle w:val="TableGrid"/>
        <w:tblW w:type="auto" w:w="0"/>
        <w:jc w:val="center"/>
        <w:tblLook w:firstColumn="1" w:firstRow="1" w:lastColumn="0" w:lastRow="0" w:noHBand="0" w:noVBand="1" w:val="04A0"/>
      </w:tblPr>
      <w:tblGrid>
        <w:gridCol w:w="3106"/>
        <w:gridCol w:w="3106"/>
        <w:gridCol w:w="3106"/>
      </w:tblGrid>
      <w:tr>
        <w:tc>
          <w:tcPr>
            <w:tcW w:type="dxa" w:w="2160"/>
            <w:shd w:val="clear" w:color="auto" w:fill="0B0B0C"/>
          </w:tcPr>
          <w:p>
            <w:pPr>
              <w:spacing w:before="40" w:after="40"/>
              <w:jc w:val="center"/>
            </w:pPr>
            <w:r/>
            <w:r>
              <w:rPr>
                <w:rFonts w:ascii="Calibri" w:hAnsi="Calibri"/>
                <w:b/>
                <w:color w:val="FFFFFF"/>
                <w:sz w:val="17"/>
              </w:rPr>
              <w:t>Founder</w:t>
            </w:r>
          </w:p>
        </w:tc>
        <w:tc>
          <w:tcPr>
            <w:tcW w:type="dxa" w:w="4896"/>
            <w:shd w:val="clear" w:color="auto" w:fill="0B0B0C"/>
          </w:tcPr>
          <w:p>
            <w:pPr>
              <w:spacing w:before="40" w:after="40"/>
              <w:jc w:val="center"/>
            </w:pPr>
            <w:r/>
            <w:r>
              <w:rPr>
                <w:rFonts w:ascii="Calibri" w:hAnsi="Calibri"/>
                <w:b/>
                <w:color w:val="FFFFFF"/>
                <w:sz w:val="17"/>
              </w:rPr>
              <w:t>Excluded IP — anything not listed is assigned to the Company</w:t>
            </w:r>
          </w:p>
        </w:tc>
        <w:tc>
          <w:tcPr>
            <w:tcW w:type="dxa" w:w="2232"/>
            <w:shd w:val="clear" w:color="auto" w:fill="0B0B0C"/>
          </w:tcPr>
          <w:p>
            <w:pPr>
              <w:spacing w:before="40" w:after="40"/>
              <w:jc w:val="center"/>
            </w:pPr>
            <w:r/>
            <w:r>
              <w:rPr>
                <w:rFonts w:ascii="Calibri" w:hAnsi="Calibri"/>
                <w:b/>
                <w:color w:val="FFFFFF"/>
                <w:sz w:val="17"/>
              </w:rPr>
              <w:t>Licensed to Company?</w:t>
            </w:r>
          </w:p>
        </w:tc>
      </w:tr>
      <w:tr>
        <w:tc>
          <w:tcPr>
            <w:tcW w:type="dxa" w:w="2160"/>
          </w:tcPr>
          <w:p>
            <w:pPr>
              <w:spacing w:before="40" w:after="40"/>
            </w:pPr>
            <w:r/>
            <w:r>
              <w:rPr>
                <w:rFonts w:ascii="Cambria" w:hAnsi="Cambria"/>
                <w:sz w:val="17"/>
              </w:rPr>
              <w:t>Soh Ye Wen</w:t>
            </w:r>
          </w:p>
        </w:tc>
        <w:tc>
          <w:tcPr>
            <w:tcW w:type="dxa" w:w="4896"/>
          </w:tcPr>
          <w:p>
            <w:pPr>
              <w:spacing w:before="40" w:after="40"/>
            </w:pPr>
            <w:r/>
            <w:r>
              <w:rPr>
                <w:rFonts w:ascii="Cambria" w:hAnsi="Cambria"/>
                <w:sz w:val="17"/>
              </w:rPr>
              <w:t>________________________________________</w:t>
            </w:r>
          </w:p>
        </w:tc>
        <w:tc>
          <w:tcPr>
            <w:tcW w:type="dxa" w:w="2232"/>
          </w:tcPr>
          <w:p>
            <w:pPr>
              <w:spacing w:before="40" w:after="40"/>
              <w:jc w:val="center"/>
            </w:pPr>
            <w:r/>
            <w:r>
              <w:rPr>
                <w:rFonts w:ascii="Cambria" w:hAnsi="Cambria"/>
                <w:sz w:val="17"/>
              </w:rPr>
              <w:t>Yes / No</w:t>
            </w:r>
          </w:p>
        </w:tc>
      </w:tr>
      <w:tr>
        <w:tc>
          <w:tcPr>
            <w:tcW w:type="dxa" w:w="2160"/>
            <w:shd w:val="clear" w:color="auto" w:fill="F6F6F4"/>
          </w:tcPr>
          <w:p>
            <w:pPr>
              <w:spacing w:before="40" w:after="40"/>
            </w:pPr>
            <w:r/>
            <w:r>
              <w:rPr>
                <w:rFonts w:ascii="Cambria" w:hAnsi="Cambria"/>
                <w:sz w:val="17"/>
              </w:rPr>
              <w:t>Lee Yong Han</w:t>
            </w:r>
          </w:p>
        </w:tc>
        <w:tc>
          <w:tcPr>
            <w:tcW w:type="dxa" w:w="4896"/>
            <w:shd w:val="clear" w:color="auto" w:fill="F6F6F4"/>
          </w:tcPr>
          <w:p>
            <w:pPr>
              <w:spacing w:before="40" w:after="40"/>
            </w:pPr>
            <w:r/>
            <w:r>
              <w:rPr>
                <w:rFonts w:ascii="Cambria" w:hAnsi="Cambria"/>
                <w:sz w:val="17"/>
              </w:rPr>
              <w:t>________________________________________</w:t>
            </w:r>
          </w:p>
        </w:tc>
        <w:tc>
          <w:tcPr>
            <w:tcW w:type="dxa" w:w="2232"/>
            <w:shd w:val="clear" w:color="auto" w:fill="F6F6F4"/>
          </w:tcPr>
          <w:p>
            <w:pPr>
              <w:spacing w:before="40" w:after="40"/>
              <w:jc w:val="center"/>
            </w:pPr>
            <w:r/>
            <w:r>
              <w:rPr>
                <w:rFonts w:ascii="Cambria" w:hAnsi="Cambria"/>
                <w:sz w:val="17"/>
              </w:rPr>
              <w:t>Yes / No</w:t>
            </w:r>
          </w:p>
        </w:tc>
      </w:tr>
      <w:tr>
        <w:tc>
          <w:tcPr>
            <w:tcW w:type="dxa" w:w="2160"/>
          </w:tcPr>
          <w:p>
            <w:pPr>
              <w:spacing w:before="40" w:after="40"/>
            </w:pPr>
            <w:r/>
            <w:r>
              <w:rPr>
                <w:rFonts w:ascii="Cambria" w:hAnsi="Cambria"/>
                <w:sz w:val="17"/>
              </w:rPr>
              <w:t>Ian Chin Jun Sheng</w:t>
            </w:r>
          </w:p>
        </w:tc>
        <w:tc>
          <w:tcPr>
            <w:tcW w:type="dxa" w:w="4896"/>
          </w:tcPr>
          <w:p>
            <w:pPr>
              <w:spacing w:before="40" w:after="40"/>
            </w:pPr>
            <w:r/>
            <w:r>
              <w:rPr>
                <w:rFonts w:ascii="Cambria" w:hAnsi="Cambria"/>
                <w:sz w:val="17"/>
              </w:rPr>
              <w:t>________________________________________</w:t>
            </w:r>
          </w:p>
        </w:tc>
        <w:tc>
          <w:tcPr>
            <w:tcW w:type="dxa" w:w="2232"/>
          </w:tcPr>
          <w:p>
            <w:pPr>
              <w:spacing w:before="40" w:after="40"/>
              <w:jc w:val="center"/>
            </w:pPr>
            <w:r/>
            <w:r>
              <w:rPr>
                <w:rFonts w:ascii="Cambria" w:hAnsi="Cambria"/>
                <w:sz w:val="17"/>
              </w:rPr>
              <w:t>Yes / No</w:t>
            </w:r>
          </w:p>
        </w:tc>
      </w:tr>
    </w:tbl>
    <w:p>
      <w:pPr>
        <w:spacing w:after="80" w:before="200"/>
      </w:pPr>
      <w:r>
        <w:rPr>
          <w:rFonts w:ascii="Calibri" w:hAnsi="Calibri"/>
          <w:b/>
          <w:i w:val="0"/>
          <w:color w:val="0B0B0C"/>
          <w:sz w:val="20"/>
        </w:rPr>
        <w:t>Part 4 — Capital and founder loans (Clause 7.1)</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512"/>
            <w:shd w:val="clear" w:color="auto" w:fill="0B0B0C"/>
          </w:tcPr>
          <w:p>
            <w:pPr>
              <w:spacing w:before="40" w:after="40"/>
              <w:jc w:val="center"/>
            </w:pPr>
            <w:r/>
            <w:r>
              <w:rPr>
                <w:rFonts w:ascii="Calibri" w:hAnsi="Calibri"/>
                <w:b/>
                <w:color w:val="FFFFFF"/>
                <w:sz w:val="17"/>
              </w:rPr>
              <w:t>Date</w:t>
            </w:r>
          </w:p>
        </w:tc>
        <w:tc>
          <w:tcPr>
            <w:tcW w:type="dxa" w:w="2160"/>
            <w:shd w:val="clear" w:color="auto" w:fill="0B0B0C"/>
          </w:tcPr>
          <w:p>
            <w:pPr>
              <w:spacing w:before="40" w:after="40"/>
              <w:jc w:val="center"/>
            </w:pPr>
            <w:r/>
            <w:r>
              <w:rPr>
                <w:rFonts w:ascii="Calibri" w:hAnsi="Calibri"/>
                <w:b/>
                <w:color w:val="FFFFFF"/>
                <w:sz w:val="17"/>
              </w:rPr>
              <w:t>Founder</w:t>
            </w:r>
          </w:p>
        </w:tc>
        <w:tc>
          <w:tcPr>
            <w:tcW w:type="dxa" w:w="1584"/>
            <w:shd w:val="clear" w:color="auto" w:fill="0B0B0C"/>
          </w:tcPr>
          <w:p>
            <w:pPr>
              <w:spacing w:before="40" w:after="40"/>
              <w:jc w:val="center"/>
            </w:pPr>
            <w:r/>
            <w:r>
              <w:rPr>
                <w:rFonts w:ascii="Calibri" w:hAnsi="Calibri"/>
                <w:b/>
                <w:color w:val="FFFFFF"/>
                <w:sz w:val="17"/>
              </w:rPr>
              <w:t>Amount (RM)</w:t>
            </w:r>
          </w:p>
        </w:tc>
        <w:tc>
          <w:tcPr>
            <w:tcW w:type="dxa" w:w="1800"/>
            <w:shd w:val="clear" w:color="auto" w:fill="0B0B0C"/>
          </w:tcPr>
          <w:p>
            <w:pPr>
              <w:spacing w:before="40" w:after="40"/>
              <w:jc w:val="center"/>
            </w:pPr>
            <w:r/>
            <w:r>
              <w:rPr>
                <w:rFonts w:ascii="Calibri" w:hAnsi="Calibri"/>
                <w:b/>
                <w:color w:val="FFFFFF"/>
                <w:sz w:val="17"/>
              </w:rPr>
              <w:t>Capital or loan</w:t>
            </w:r>
          </w:p>
        </w:tc>
        <w:tc>
          <w:tcPr>
            <w:tcW w:type="dxa" w:w="2232"/>
            <w:shd w:val="clear" w:color="auto" w:fill="0B0B0C"/>
          </w:tcPr>
          <w:p>
            <w:pPr>
              <w:spacing w:before="40" w:after="40"/>
              <w:jc w:val="center"/>
            </w:pPr>
            <w:r/>
            <w:r>
              <w:rPr>
                <w:rFonts w:ascii="Calibri" w:hAnsi="Calibri"/>
                <w:b/>
                <w:color w:val="FFFFFF"/>
                <w:sz w:val="17"/>
              </w:rPr>
              <w:t>Purpose</w:t>
            </w:r>
          </w:p>
        </w:tc>
      </w:tr>
      <w:tr>
        <w:tc>
          <w:tcPr>
            <w:tcW w:type="dxa" w:w="1512"/>
          </w:tcPr>
          <w:p>
            <w:pPr>
              <w:spacing w:before="40" w:after="40"/>
            </w:pPr>
            <w:r/>
            <w:r>
              <w:rPr>
                <w:rFonts w:ascii="Cambria" w:hAnsi="Cambria"/>
                <w:sz w:val="17"/>
              </w:rPr>
              <w:t>__________</w:t>
            </w:r>
          </w:p>
        </w:tc>
        <w:tc>
          <w:tcPr>
            <w:tcW w:type="dxa" w:w="2160"/>
          </w:tcPr>
          <w:p>
            <w:pPr>
              <w:spacing w:before="40" w:after="40"/>
            </w:pPr>
            <w:r/>
            <w:r>
              <w:rPr>
                <w:rFonts w:ascii="Cambria" w:hAnsi="Cambria"/>
                <w:sz w:val="17"/>
              </w:rPr>
              <w:t>________________</w:t>
            </w:r>
          </w:p>
        </w:tc>
        <w:tc>
          <w:tcPr>
            <w:tcW w:type="dxa" w:w="1584"/>
          </w:tcPr>
          <w:p>
            <w:pPr>
              <w:spacing w:before="40" w:after="40"/>
              <w:jc w:val="center"/>
            </w:pPr>
            <w:r/>
            <w:r>
              <w:rPr>
                <w:rFonts w:ascii="Cambria" w:hAnsi="Cambria"/>
                <w:sz w:val="17"/>
              </w:rPr>
              <w:t>__________</w:t>
            </w:r>
          </w:p>
        </w:tc>
        <w:tc>
          <w:tcPr>
            <w:tcW w:type="dxa" w:w="1800"/>
          </w:tcPr>
          <w:p>
            <w:pPr>
              <w:spacing w:before="40" w:after="40"/>
              <w:jc w:val="center"/>
            </w:pPr>
            <w:r/>
            <w:r>
              <w:rPr>
                <w:rFonts w:ascii="Cambria" w:hAnsi="Cambria"/>
                <w:sz w:val="17"/>
              </w:rPr>
              <w:t>Capital / Loan</w:t>
            </w:r>
          </w:p>
        </w:tc>
        <w:tc>
          <w:tcPr>
            <w:tcW w:type="dxa" w:w="2232"/>
          </w:tcPr>
          <w:p>
            <w:pPr>
              <w:spacing w:before="40" w:after="40"/>
            </w:pPr>
            <w:r/>
            <w:r>
              <w:rPr>
                <w:rFonts w:ascii="Cambria" w:hAnsi="Cambria"/>
                <w:sz w:val="17"/>
              </w:rPr>
              <w:t>________________</w:t>
            </w:r>
          </w:p>
        </w:tc>
      </w:tr>
      <w:tr>
        <w:tc>
          <w:tcPr>
            <w:tcW w:type="dxa" w:w="1512"/>
            <w:shd w:val="clear" w:color="auto" w:fill="F6F6F4"/>
          </w:tcPr>
          <w:p>
            <w:pPr>
              <w:spacing w:before="40" w:after="40"/>
            </w:pPr>
            <w:r/>
            <w:r>
              <w:rPr>
                <w:rFonts w:ascii="Cambria" w:hAnsi="Cambria"/>
                <w:sz w:val="17"/>
              </w:rPr>
              <w:t>__________</w:t>
            </w:r>
          </w:p>
        </w:tc>
        <w:tc>
          <w:tcPr>
            <w:tcW w:type="dxa" w:w="2160"/>
            <w:shd w:val="clear" w:color="auto" w:fill="F6F6F4"/>
          </w:tcPr>
          <w:p>
            <w:pPr>
              <w:spacing w:before="40" w:after="40"/>
            </w:pPr>
            <w:r/>
            <w:r>
              <w:rPr>
                <w:rFonts w:ascii="Cambria" w:hAnsi="Cambria"/>
                <w:sz w:val="17"/>
              </w:rPr>
              <w:t>________________</w:t>
            </w:r>
          </w:p>
        </w:tc>
        <w:tc>
          <w:tcPr>
            <w:tcW w:type="dxa" w:w="1584"/>
            <w:shd w:val="clear" w:color="auto" w:fill="F6F6F4"/>
          </w:tcPr>
          <w:p>
            <w:pPr>
              <w:spacing w:before="40" w:after="40"/>
              <w:jc w:val="center"/>
            </w:pPr>
            <w:r/>
            <w:r>
              <w:rPr>
                <w:rFonts w:ascii="Cambria" w:hAnsi="Cambria"/>
                <w:sz w:val="17"/>
              </w:rPr>
              <w:t>__________</w:t>
            </w:r>
          </w:p>
        </w:tc>
        <w:tc>
          <w:tcPr>
            <w:tcW w:type="dxa" w:w="1800"/>
            <w:shd w:val="clear" w:color="auto" w:fill="F6F6F4"/>
          </w:tcPr>
          <w:p>
            <w:pPr>
              <w:spacing w:before="40" w:after="40"/>
              <w:jc w:val="center"/>
            </w:pPr>
            <w:r/>
            <w:r>
              <w:rPr>
                <w:rFonts w:ascii="Cambria" w:hAnsi="Cambria"/>
                <w:sz w:val="17"/>
              </w:rPr>
              <w:t>Capital / Loan</w:t>
            </w:r>
          </w:p>
        </w:tc>
        <w:tc>
          <w:tcPr>
            <w:tcW w:type="dxa" w:w="2232"/>
            <w:shd w:val="clear" w:color="auto" w:fill="F6F6F4"/>
          </w:tcPr>
          <w:p>
            <w:pPr>
              <w:spacing w:before="40" w:after="40"/>
            </w:pPr>
            <w:r/>
            <w:r>
              <w:rPr>
                <w:rFonts w:ascii="Cambria" w:hAnsi="Cambria"/>
                <w:sz w:val="17"/>
              </w:rPr>
              <w:t>________________</w:t>
            </w:r>
          </w:p>
        </w:tc>
      </w:tr>
      <w:tr>
        <w:tc>
          <w:tcPr>
            <w:tcW w:type="dxa" w:w="1512"/>
          </w:tcPr>
          <w:p>
            <w:pPr>
              <w:spacing w:before="40" w:after="40"/>
            </w:pPr>
            <w:r/>
            <w:r>
              <w:rPr>
                <w:rFonts w:ascii="Cambria" w:hAnsi="Cambria"/>
                <w:sz w:val="17"/>
              </w:rPr>
              <w:t>__________</w:t>
            </w:r>
          </w:p>
        </w:tc>
        <w:tc>
          <w:tcPr>
            <w:tcW w:type="dxa" w:w="2160"/>
          </w:tcPr>
          <w:p>
            <w:pPr>
              <w:spacing w:before="40" w:after="40"/>
            </w:pPr>
            <w:r/>
            <w:r>
              <w:rPr>
                <w:rFonts w:ascii="Cambria" w:hAnsi="Cambria"/>
                <w:sz w:val="17"/>
              </w:rPr>
              <w:t>________________</w:t>
            </w:r>
          </w:p>
        </w:tc>
        <w:tc>
          <w:tcPr>
            <w:tcW w:type="dxa" w:w="1584"/>
          </w:tcPr>
          <w:p>
            <w:pPr>
              <w:spacing w:before="40" w:after="40"/>
              <w:jc w:val="center"/>
            </w:pPr>
            <w:r/>
            <w:r>
              <w:rPr>
                <w:rFonts w:ascii="Cambria" w:hAnsi="Cambria"/>
                <w:sz w:val="17"/>
              </w:rPr>
              <w:t>__________</w:t>
            </w:r>
          </w:p>
        </w:tc>
        <w:tc>
          <w:tcPr>
            <w:tcW w:type="dxa" w:w="1800"/>
          </w:tcPr>
          <w:p>
            <w:pPr>
              <w:spacing w:before="40" w:after="40"/>
              <w:jc w:val="center"/>
            </w:pPr>
            <w:r/>
            <w:r>
              <w:rPr>
                <w:rFonts w:ascii="Cambria" w:hAnsi="Cambria"/>
                <w:sz w:val="17"/>
              </w:rPr>
              <w:t>Capital / Loan</w:t>
            </w:r>
          </w:p>
        </w:tc>
        <w:tc>
          <w:tcPr>
            <w:tcW w:type="dxa" w:w="2232"/>
          </w:tcPr>
          <w:p>
            <w:pPr>
              <w:spacing w:before="40" w:after="40"/>
            </w:pPr>
            <w:r/>
            <w:r>
              <w:rPr>
                <w:rFonts w:ascii="Cambria" w:hAnsi="Cambria"/>
                <w:sz w:val="17"/>
              </w:rPr>
              <w:t>________________</w:t>
            </w:r>
          </w:p>
        </w:tc>
      </w:tr>
      <w:tr>
        <w:tc>
          <w:tcPr>
            <w:tcW w:type="dxa" w:w="1512"/>
            <w:shd w:val="clear" w:color="auto" w:fill="F6F6F4"/>
          </w:tcPr>
          <w:p>
            <w:pPr>
              <w:spacing w:before="40" w:after="40"/>
            </w:pPr>
            <w:r/>
            <w:r>
              <w:rPr>
                <w:rFonts w:ascii="Cambria" w:hAnsi="Cambria"/>
                <w:sz w:val="17"/>
              </w:rPr>
              <w:t>__________</w:t>
            </w:r>
          </w:p>
        </w:tc>
        <w:tc>
          <w:tcPr>
            <w:tcW w:type="dxa" w:w="2160"/>
            <w:shd w:val="clear" w:color="auto" w:fill="F6F6F4"/>
          </w:tcPr>
          <w:p>
            <w:pPr>
              <w:spacing w:before="40" w:after="40"/>
            </w:pPr>
            <w:r/>
            <w:r>
              <w:rPr>
                <w:rFonts w:ascii="Cambria" w:hAnsi="Cambria"/>
                <w:sz w:val="17"/>
              </w:rPr>
              <w:t>________________</w:t>
            </w:r>
          </w:p>
        </w:tc>
        <w:tc>
          <w:tcPr>
            <w:tcW w:type="dxa" w:w="1584"/>
            <w:shd w:val="clear" w:color="auto" w:fill="F6F6F4"/>
          </w:tcPr>
          <w:p>
            <w:pPr>
              <w:spacing w:before="40" w:after="40"/>
              <w:jc w:val="center"/>
            </w:pPr>
            <w:r/>
            <w:r>
              <w:rPr>
                <w:rFonts w:ascii="Cambria" w:hAnsi="Cambria"/>
                <w:sz w:val="17"/>
              </w:rPr>
              <w:t>__________</w:t>
            </w:r>
          </w:p>
        </w:tc>
        <w:tc>
          <w:tcPr>
            <w:tcW w:type="dxa" w:w="1800"/>
            <w:shd w:val="clear" w:color="auto" w:fill="F6F6F4"/>
          </w:tcPr>
          <w:p>
            <w:pPr>
              <w:spacing w:before="40" w:after="40"/>
              <w:jc w:val="center"/>
            </w:pPr>
            <w:r/>
            <w:r>
              <w:rPr>
                <w:rFonts w:ascii="Cambria" w:hAnsi="Cambria"/>
                <w:sz w:val="17"/>
              </w:rPr>
              <w:t>Capital / Loan</w:t>
            </w:r>
          </w:p>
        </w:tc>
        <w:tc>
          <w:tcPr>
            <w:tcW w:type="dxa" w:w="2232"/>
            <w:shd w:val="clear" w:color="auto" w:fill="F6F6F4"/>
          </w:tcPr>
          <w:p>
            <w:pPr>
              <w:spacing w:before="40" w:after="40"/>
            </w:pPr>
            <w:r/>
            <w:r>
              <w:rPr>
                <w:rFonts w:ascii="Cambria" w:hAnsi="Cambria"/>
                <w:sz w:val="17"/>
              </w:rPr>
              <w:t>________________</w:t>
            </w:r>
          </w:p>
        </w:tc>
      </w:tr>
      <w:tr>
        <w:tc>
          <w:tcPr>
            <w:tcW w:type="dxa" w:w="1512"/>
          </w:tcPr>
          <w:p>
            <w:pPr>
              <w:spacing w:before="40" w:after="40"/>
            </w:pPr>
            <w:r/>
            <w:r>
              <w:rPr>
                <w:rFonts w:ascii="Cambria" w:hAnsi="Cambria"/>
                <w:sz w:val="17"/>
              </w:rPr>
              <w:t>__________</w:t>
            </w:r>
          </w:p>
        </w:tc>
        <w:tc>
          <w:tcPr>
            <w:tcW w:type="dxa" w:w="2160"/>
          </w:tcPr>
          <w:p>
            <w:pPr>
              <w:spacing w:before="40" w:after="40"/>
            </w:pPr>
            <w:r/>
            <w:r>
              <w:rPr>
                <w:rFonts w:ascii="Cambria" w:hAnsi="Cambria"/>
                <w:sz w:val="17"/>
              </w:rPr>
              <w:t>________________</w:t>
            </w:r>
          </w:p>
        </w:tc>
        <w:tc>
          <w:tcPr>
            <w:tcW w:type="dxa" w:w="1584"/>
          </w:tcPr>
          <w:p>
            <w:pPr>
              <w:spacing w:before="40" w:after="40"/>
              <w:jc w:val="center"/>
            </w:pPr>
            <w:r/>
            <w:r>
              <w:rPr>
                <w:rFonts w:ascii="Cambria" w:hAnsi="Cambria"/>
                <w:sz w:val="17"/>
              </w:rPr>
              <w:t>__________</w:t>
            </w:r>
          </w:p>
        </w:tc>
        <w:tc>
          <w:tcPr>
            <w:tcW w:type="dxa" w:w="1800"/>
          </w:tcPr>
          <w:p>
            <w:pPr>
              <w:spacing w:before="40" w:after="40"/>
              <w:jc w:val="center"/>
            </w:pPr>
            <w:r/>
            <w:r>
              <w:rPr>
                <w:rFonts w:ascii="Cambria" w:hAnsi="Cambria"/>
                <w:sz w:val="17"/>
              </w:rPr>
              <w:t>Capital / Loan</w:t>
            </w:r>
          </w:p>
        </w:tc>
        <w:tc>
          <w:tcPr>
            <w:tcW w:type="dxa" w:w="2232"/>
          </w:tcPr>
          <w:p>
            <w:pPr>
              <w:spacing w:before="40" w:after="40"/>
            </w:pPr>
            <w:r/>
            <w:r>
              <w:rPr>
                <w:rFonts w:ascii="Cambria" w:hAnsi="Cambria"/>
                <w:sz w:val="17"/>
              </w:rPr>
              <w:t>________________</w:t>
            </w:r>
          </w:p>
        </w:tc>
      </w:tr>
    </w:tbl>
    <w:p>
      <w:pPr>
        <w:spacing w:before="240"/>
        <w:pBdr>
          <w:top w:val="single" w:sz="6" w:space="5" w:color="DDDDD8"/>
        </w:pBdr>
      </w:pPr>
    </w:p>
    <w:p>
      <w:pPr>
        <w:spacing w:after="100" w:before="40"/>
      </w:pPr>
      <w:r>
        <w:rPr>
          <w:rFonts w:ascii="Cambria" w:hAnsi="Cambria"/>
          <w:b w:val="0"/>
          <w:i/>
          <w:color w:val="5B5F66"/>
          <w:sz w:val="16"/>
        </w:rPr>
        <w:t>Not legal advice. Have a Malaysian corporate lawyer read this before or shortly after signing — particularly the vesting, leaver and non-compete clauses.</w:t>
      </w:r>
    </w:p>
    <w:sectPr w:rsidR="00FC693F" w:rsidRPr="0006063C" w:rsidSect="00034616">
      <w:footerReference w:type="default" r:id="rId10"/>
      <w:pgSz w:w="11909" w:h="16834"/>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5" w:color="DDDDD8"/>
      </w:pBdr>
    </w:pPr>
    <w:r/>
    <w:r>
      <w:rPr>
        <w:rFonts w:ascii="Calibri" w:hAnsi="Calibri"/>
        <w:color w:val="8A8F98"/>
        <w:sz w:val="14"/>
      </w:rPr>
      <w:t xml:space="preserve">YiY Tech Founders' Agreement  ·  Soh Ye Wen  ·  Lee Yong Han  ·  Ian Chin Jun Sheng  ·  Page </w:t>
    </w:r>
    <w:fldSimple w:instr="PAGE">
      <w:r>
        <w:rPr>
          <w:sz w:val="14"/>
          <w:color w:val="8A8F9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mbria" w:hAnsi="Cambria" w:eastAsia="Cambria"/>
      <w:color w:val="0B0B0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