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 与 TG 双知识图谱构建及跨图匹配研究方案</w:t>
      </w:r>
    </w:p>
    <w:p>
      <w:pPr>
        <w:pStyle w:val="Subtitle"/>
      </w:pPr>
      <w:r>
        <w:t>研究计划与试验后拓展路线</w:t>
      </w:r>
    </w:p>
    <w:p>
      <w:pPr>
        <w:spacing w:after="240"/>
      </w:pPr>
      <w:r>
        <w:rPr>
          <w:sz w:val="18"/>
        </w:rPr>
        <w:t>版本 1.0　编制日期 2026 年 9 月 20 日</w:t>
      </w:r>
    </w:p>
    <w:p>
      <w:pPr>
        <w:pStyle w:val="Heading1"/>
      </w:pPr>
      <w:r>
        <w:t>1 研究目标与总体设计</w:t>
      </w:r>
    </w:p>
    <w:p>
      <w:r>
        <w:t>本研究拟从现有 iTE 与 TG 文献分别建立可追溯的知识图谱，再匹配两侧具有可比关系或局部结构的知识片段，形成供研究者核查的跨领域候选。核心问题是：在相同语料、相同抽取结果和相同候选范围下，加入关系方向、条件及邻域结构，能否比单纯语义相似度检索得到更可靠的匹配。</w:t>
      </w:r>
    </w:p>
    <w:p>
      <w:r>
        <w:t>研究对象是两张独立图谱之间的关系匹配。iTE 和 TG 是现有检索集合的来源标签；不能仅凭来源推定每篇论文都属于纯粹、单一的物理机制。初期保留全部去重文献，内容分类作为分析属性，不自动删去相邻领域、综述或混合机制论文。</w:t>
      </w:r>
    </w:p>
    <w:p>
      <w:r>
        <w:t>匹配本身不代表知识能够单向迁移，也不代表两种器件能够物理耦合。实体同名、关系相似、条件兼容和可实验验证是不同层次，输出中必须分别记录。本阶段的主要成果是可复查的关系匹配方法及评价结果；材料设计假设属于后续验证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110"/>
        <w:gridCol w:w="3600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核心问题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阶段产物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小规模抽取试验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模型能否忠实识别摘要中的关系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40 篇开发样本与独立验收样本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全量双图谱构建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证据能否完整追溯且两域保持独立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两张分层图谱与覆盖率报告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跨图匹配比较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结构信息是否带来稳定增益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基线比较与盲评结果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案例复核与拓展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哪些候选值得补充证据或验证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3 至 5 个案例及下一阶段决策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预期贡献与结果边界</w:t>
      </w:r>
    </w:p>
    <w:p>
      <w:r>
        <w:t>可争取的贡献包括：适用于 iTE 与 TG 文献的证据化抽取流程、区分关系匹配与科学兼容性的跨图方法，以及带原文来源的人工评价集。采用 Codex 或绘制知识图谱本身不构成方法创新；论文贡献应来自清楚的任务定义、可复现的比较和经核查的发现。</w:t>
      </w:r>
    </w:p>
    <w:p>
      <w:r>
        <w:t>已有研究可为跨领域图检索、实体与关系联合对齐、局部结构匹配提供方法依据［1 至 3］。本方案先采用轻量、可解释的方法验证研究问题，取得证据后再决定是否引入复杂模型。所有样本量、质量门槛和时间安排均为本项目的拟定设置，尚非试验结果。</w:t>
      </w:r>
    </w:p>
    <w:p>
      <w:r>
        <w:br w:type="page"/>
      </w:r>
    </w:p>
    <w:p>
      <w:pPr>
        <w:pStyle w:val="Heading1"/>
        <w:spacing w:before="0"/>
      </w:pPr>
      <w:r>
        <w:t>2 本地材料与语料管理</w:t>
      </w:r>
    </w:p>
    <w:p>
      <w:r>
        <w:t>当前可直接使用的默认语料为 cleaned_ite_tg/data/ite_clean.csv 和 cleaned_ite_tg/data/tg_clean.csv，分别包含 1,644 与 333 篇论文，合计 1,977 篇。2026 年 9 月 20 日重新执行 verify.py，校验通过，确认 TG 无论文被移除、独立论文未丢失、两侧规范化 DOI 与标题无精确交叉重复［6］。</w:t>
      </w:r>
    </w:p>
    <w:p>
      <w:r>
        <w:t>原始 2,044 条记录经过 iTE 内部合并 1 条重复、将 66 篇跨集合重复仅从 iTE 移除后形成当前版本。66 篇共享论文全部留在 TG，保留其历史来源标签以做敏感性分析。6 篇缺摘要论文继续保留，其中 iTE 5 篇、TG 1 篇；摘要阶段标记为待补充，不将其记为“没有科学关系”。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110"/>
        <w:gridCol w:w="3600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材料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可复用内容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本轮处理方式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cleaned_ite_tg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去重语料、论文 ID、来源映射、校验脚本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冻结为默认输入并记录哈希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audit 目录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原始记录和去重依据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仅作追溯，不重复加入样本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cleanroom_abstract_pair_layer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原文位置、证据引用、候选与事实分离的结构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参考结构，按当前语料重建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历史图谱与绘图脚本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图谱导出、数据检查、可视化逻辑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审查依赖与路径后择要改造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历史报告与参考论文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背景、方法线索、错误案例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回查原始证据后引用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不能直接沿用的结果</w:t>
      </w:r>
    </w:p>
    <w:p>
      <w:r>
        <w:t>旧摘要证据层采用 243 篇严格 iTE 与 146 篇严格 TG 的范围口径，与当前全量保留政策不同。旧图谱说明中，正式人工确认关系边为 0 条，现有许多边属于共现或待审核关系。因此，旧统计量不能用来描述新图谱，旧关系也不能直接作为金标准［7］。</w:t>
      </w:r>
    </w:p>
    <w:p>
      <w:r>
        <w:t>项目已撤回 final_concept_layer、task_typed_concept_layer、ite_tg_complementarity 和 pair_projection 的发现或排序结果，审计原因包括缺少摘要支持的概念及预写规则参与候选生成。其词表、排名与人工方案不回灌新抽取流程。源表中的旧材料和机制列也仅为待核实注释［7］。</w:t>
      </w:r>
    </w:p>
    <w:p>
      <w:pPr>
        <w:pStyle w:val="Heading2"/>
      </w:pPr>
      <w:r>
        <w:t>数据冻结与新增信息</w:t>
      </w:r>
    </w:p>
    <w:p>
      <w:r>
        <w:t>开始抽取前保存输入哈希、运行配置与论文 ID 清单；模型只接收必要的题名、摘要、文献 ID 和来源域，不接收旧排序、旧概念标签或预设“成功案例”。内容类型、机制类型和研究年份可作为分层分析字段，但不改变默认全集。</w:t>
      </w:r>
    </w:p>
    <w:p>
      <w:r>
        <w:t>新增全文、补齐摘要和人工修订分别保留版本与来源。抽取依据来自摘要还是全文，应在每条记录中可见；对重复试验产生的多份输出使用运行版本区分，避免把同一文献重复计为独立支持。</w:t>
      </w:r>
    </w:p>
    <w:p>
      <w:r>
        <w:br w:type="page"/>
      </w:r>
    </w:p>
    <w:p>
      <w:pPr>
        <w:pStyle w:val="Heading1"/>
        <w:spacing w:before="0"/>
      </w:pPr>
      <w:r>
        <w:t>3 抽取规范与 Codex 执行方式</w:t>
      </w:r>
    </w:p>
    <w:p>
      <w:r>
        <w:t>初始图谱采用材料或组分、过程或机制、性质或性能三类概念。将温度、浓度、湿度、测量方式、数值与单位等作为关系的条件字段；只有当条件本身需要跨论文检索且证据充分时，再扩展为独立节点。初期不以复杂本体增加标注负担。</w:t>
      </w:r>
    </w:p>
    <w:p>
      <w:r>
        <w:t>每条关系保留“主体—谓词—客体”及原文措辞。规范化只解决命名差异，不添加原摘要没有的科学内容。属性高低、变化方向、否定、推测与比较对象需要明确记录；同句出现但没有明确关系的两个概念，单独保存为共现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731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字段组</w:t>
            </w:r>
          </w:p>
        </w:tc>
        <w:tc>
          <w:tcPr>
            <w:tcW w:type="dxa" w:w="731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最低要求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文献与版本</w:t>
            </w:r>
          </w:p>
        </w:tc>
        <w:tc>
          <w:tcPr>
            <w:tcW w:type="dxa" w:w="731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paper_id、来源域、输入哈希、抽取运行 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实体</w:t>
            </w:r>
          </w:p>
        </w:tc>
        <w:tc>
          <w:tcPr>
            <w:tcW w:type="dxa" w:w="731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原文名称、规范名称、类型、原文位置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关系</w:t>
            </w:r>
          </w:p>
        </w:tc>
        <w:tc>
          <w:tcPr>
            <w:tcW w:type="dxa" w:w="731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主体、原始谓词、规范谓词、客体、关系方向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条件与断言</w:t>
            </w:r>
          </w:p>
        </w:tc>
        <w:tc>
          <w:tcPr>
            <w:tcW w:type="dxa" w:w="731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已报告条件、数值单位、否定或推测状态；未报告写空值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原文证据</w:t>
            </w:r>
          </w:p>
        </w:tc>
        <w:tc>
          <w:tcPr>
            <w:tcW w:type="dxa" w:w="731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精确引用、句子 ID、字符起止位置；全文阶段增加页码或段落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审核状态</w:t>
            </w:r>
          </w:p>
        </w:tc>
        <w:tc>
          <w:tcPr>
            <w:tcW w:type="dxa" w:w="731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机器抽取、规则校验、人工接受或拒绝及理由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字符位置以冻结输入中的文本为准，由 Python 定位并检查；引用出现多次时结合句子 ID 消歧。摘要没有报告的条件不能由常识补齐。跨句关系在初期单独标记并进入复核队列，不与同句明确关系混为一类。</w:t>
      </w:r>
    </w:p>
    <w:p>
      <w:pPr>
        <w:pStyle w:val="Heading2"/>
      </w:pPr>
      <w:r>
        <w:t>云端抽取与本地计算</w:t>
      </w:r>
    </w:p>
    <w:p>
      <w:r>
        <w:t>使用已登录 ChatGPT 账号的官方 Codex CLI，通过 codex exec 分批处理文献，并用 JSON Schema 约束结构化输出。Python 调度任务、验证格式、保存原始回复及解析结果；成功批次缓存，失败批次按文献定位后重跑。初期每批 5 至 10 篇，根据上下文长度和漏抽情况调整，避免一次塞入全部文献［4］。</w:t>
      </w:r>
    </w:p>
    <w:p>
      <w:r>
        <w:t>账号登录方式使用订阅包含的 Codex 额度，API Key 方式另行计费。订阅并非无限批量计算额度；达到限额后记录断点并等待可用额度，不自动购买额度或切换到付费 API。记录实际模型标识、推理配置、CLI 版本和运行日期；服务更新后重跑同一锚定样本，检查输出漂移［4，5］。</w:t>
      </w:r>
    </w:p>
    <w:p>
      <w:r>
        <w:t>工作站负责文本校验、嵌入计算、图谱构建和匹配分析。现有 9950X、24 GB 显存和约 60 GiB 内存可作为该规模流程的计算基础，具体吞吐由试运行测量。强模型在云端推理，不要求工作站装载同规模权重。将来更换本地模型时，使用相同评价集测量差异，不能仅以参数量判断抽取质量。</w:t>
      </w:r>
    </w:p>
    <w:p>
      <w:r>
        <w:br w:type="page"/>
      </w:r>
    </w:p>
    <w:p>
      <w:pPr>
        <w:pStyle w:val="Heading1"/>
        <w:spacing w:before="0"/>
      </w:pPr>
      <w:r>
        <w:t>4 小规模试验与扩大处理条件</w:t>
      </w:r>
    </w:p>
    <w:p>
      <w:r>
        <w:t>第一步选取 iTE、TG 各 20 篇，共 40 篇作为开发试验。使用固定随机种子，在年份和摘要长度上分层，尽量覆盖不同文献类型；不足的层如实记录。另设含否定、混合机制、缩写和缺少条件的挑战样例，用于排错，其结果不混入代表性样本的总体精度。</w:t>
      </w:r>
    </w:p>
    <w:p>
      <w:r>
        <w:t>研究者先按统一标注规则阅读原摘要，列出符合定义的实体和关系，再核对模型输出，避免只检查“模型已经抽到的关系”而无法估计漏抽。先解决明显的格式、方向和证据问题，再冻结提示词、字段规范与规范化规则。</w:t>
      </w:r>
    </w:p>
    <w:p>
      <w:pPr>
        <w:pStyle w:val="Heading2"/>
      </w:pPr>
      <w:r>
        <w:t>独立验收与质量指标</w:t>
      </w:r>
    </w:p>
    <w:p>
      <w:r>
        <w:t>开发试验完成后，再选取未参与调试的 iTE、TG 各 20 篇作为独立验收样本。40 篇验收集仅提供阶段性判断；若关系数量太少或某一类错误集中出现，应增加同规则抽样，不能为了达标删去困难论文。验收后若修改规则，记录版本，并另留新的独立样本确认改进。</w:t>
      </w:r>
    </w:p>
    <w:p>
      <w:r>
        <w:t>关系精确率按主体、谓词、客体、方向和已报告条件均得到原文支持来判定；召回率以研究者按相同范围完整标出的关系为分母。分别报告两域结果及按论文汇总的指标，防止少数长摘要主导统计。规范化正确率与条件遗漏率单独列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68"/>
        <w:gridCol w:w="3402"/>
        <w:gridCol w:w="3912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拟定扩大处理门槛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未达到时的处理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文献 ID 和精确引用可定位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进入图谱的记录全部通过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隔离失败记录并修复定位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格式解析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修复后每篇都有结果或明确失败状态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定位失败原因，不静默丢样本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严格关系精确率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两域分别达到约 90%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分析错误，调整后重新验收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人工标注范围内召回率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两域分别达到约 70%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查找漏抽类型和长摘要效应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关键错误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已发现的虚构概念、反向关系均解决</w:t>
            </w:r>
          </w:p>
        </w:tc>
        <w:tc>
          <w:tcPr>
            <w:tcW w:type="dxa" w:w="391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暂缓全量，增加针对性检查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上述数值是项目管理门槛，不是行业标准，也不代表统计上已证明达到相同总体水平。报告分子、分母及不确定性；例如 40 篇中关系数量较少时，单个百分比不足以证明稳定。若准确率与召回率冲突，优先保留可追溯且准确的关系，并明确报告覆盖损失。</w:t>
      </w:r>
    </w:p>
    <w:p>
      <w:pPr>
        <w:pStyle w:val="Heading2"/>
      </w:pPr>
      <w:r>
        <w:t>人工复核安排</w:t>
      </w:r>
    </w:p>
    <w:p>
      <w:r>
        <w:t>主研究者完成标注与验收；条件允许时，请第二位熟悉领域的复核者独立标注部分样本并裁决分歧。若只有一位复核者，可间隔一段时间重复盲标并报告这一限制。另一个大模型的赞同只能作为辅助检查，不能替代人工参考答案。</w:t>
      </w:r>
    </w:p>
    <w:p>
      <w:r>
        <w:t>试验同时测量每批耗时、每篇关系数量、返工率及可见的额度消耗，据此估算全量处理和人工复核工作量。没有实际日志前，不承诺 1,977 篇能在一个额度周期内完成。</w:t>
      </w:r>
    </w:p>
    <w:p>
      <w:r>
        <w:br w:type="page"/>
      </w:r>
    </w:p>
    <w:p>
      <w:pPr>
        <w:pStyle w:val="Heading1"/>
        <w:spacing w:before="0"/>
      </w:pPr>
      <w:r>
        <w:t>5 双图谱构建与跨图匹配</w:t>
      </w:r>
    </w:p>
    <w:p>
      <w:r>
        <w:t>通过验收后，分批处理全部 1,971 篇有摘要论文；6 篇缺摘要论文保留在文献登记表中。分别输出 iTE 与 TG 的节点、关系和证据文件，节点使用域前缀，概念别名保留原始写法和归一化依据。同名概念也保留两域身份，通过独立的对齐记录关联。</w:t>
      </w:r>
    </w:p>
    <w:p>
      <w:r>
        <w:t>机器抽取且通过规则校验的关系构成“机器候选图”，人工核查通过的关系构成“已复核子图”。共现边与实体对齐边采用不同类型，不能混入科学关系边。全量抽取后的抽查按域、关系类型和证据复杂度分层；错误集中的批次扩大复核，保留修订记录。</w:t>
      </w:r>
    </w:p>
    <w:p>
      <w:pPr>
        <w:pStyle w:val="Heading2"/>
      </w:pPr>
      <w:r>
        <w:t>匹配单元与候选生成</w:t>
      </w:r>
    </w:p>
    <w:p>
      <w:r>
        <w:t>基本匹配单元为一条带条件的关系，而非单个关键词。以 iTE 的 A—r—B 与 TG 的 C—s—D 为例，匹配需要分别检查端点概念、谓词含义、方向及条件。只把明确同义或有依据的逆关系转换为同一形式，不能任意交换主体与客体来获得高分。</w:t>
      </w:r>
    </w:p>
    <w:p>
      <w:r>
        <w:t>将关系的规范文本与原文证据编码为嵌入，固定同一嵌入模型与版本。两域分别作为查询端检索对方 Top 20，合并去重形成候选集合；同时保留精确名称匹配通道。Top 20 是初始计算设置，开发阶段检查 Top 10、20、50 的覆盖和工作量后冻结，双向检索不表示双向物理迁移。</w:t>
      </w:r>
    </w:p>
    <w:p>
      <w:pPr>
        <w:pStyle w:val="Heading2"/>
      </w:pPr>
      <w:r>
        <w:t>比较方法与评分依据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4110"/>
        <w:gridCol w:w="3600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使用的信息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比较目的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精确匹配基线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规范名称与谓词的精确对应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测量最低复杂度方案的覆盖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语义基线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两个端点及关系文本的语义相似度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检查文本信息已经能做到什么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关系约束方法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语义分数加类型、方向与已报告条件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测量关系约束的增量价值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邻域增强方法</w:t>
            </w:r>
          </w:p>
        </w:tc>
        <w:tc>
          <w:tcPr>
            <w:tcW w:type="dxa" w:w="411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前项加一跳邻域关系模式</w:t>
            </w:r>
          </w:p>
        </w:tc>
        <w:tc>
          <w:tcPr>
            <w:tcW w:type="dxa" w:w="3600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测量局部结构的额外价值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各方法使用同一抽取版本与同一候选集合，避免把更好的抽取误认成更好的匹配。候选生成范围之外的结果不能用这项比较推断；候选召回不足时需另做检索阶段试验。</w:t>
      </w:r>
    </w:p>
    <w:p>
      <w:r>
        <w:t>开发阶段将各评分分量归一到一致尺度，以少量预先列出的权重组合选择配置；最终测试前固定权重和阈值。记录每个候选的分项得分、原文与路径。缺失条件标为未知，不能直接判为兼容或不兼容；真实条件冲突单独标出。避免高频通用节点凭大量连接获得虚高排名，并报告去除通用节点后的敏感性结果。</w:t>
      </w:r>
    </w:p>
    <w:p>
      <w:r>
        <w:t>初期使用 Python、NetworkX 与表格文件即可完成。先建立可靠比较，再评估是否需要图数据库、图神经网络或多代理推理系统。</w:t>
      </w:r>
    </w:p>
    <w:p>
      <w:r>
        <w:br w:type="page"/>
      </w:r>
    </w:p>
    <w:p>
      <w:pPr>
        <w:pStyle w:val="Heading1"/>
        <w:spacing w:before="0"/>
      </w:pPr>
      <w:r>
        <w:t>6 匹配评价与科学案例复核</w:t>
      </w:r>
    </w:p>
    <w:p>
      <w:r>
        <w:t>最终评价同时回答“关系是否匹配”和“是否值得开展科学验证”。第一类是主要方法指标，第二类单独评审。一个候选可以在功能关系上相似，但因材料体系或工况不同而无法直接采用；评价表允许这种情况，不用单一总分掩盖区别。</w:t>
      </w:r>
    </w:p>
    <w:p>
      <w:r>
        <w:t>开发阶段另建约 60 个候选的标注集，用于解释规则和选择参数，与最终盲评候选分开。匹配 ID 固定后不得跨集合重复。尽可能按主要端点概念族或来源论文组划分，减少近似候选泄漏；若稀疏图导致无法完全分离，报告重叠比例及受限结论。</w:t>
      </w:r>
    </w:p>
    <w:p>
      <w:pPr>
        <w:pStyle w:val="Heading2"/>
      </w:pPr>
      <w:r>
        <w:t>最终盲评设计</w:t>
      </w:r>
    </w:p>
    <w:p>
      <w:r>
        <w:t>冻结参数后，收集四种方法各自排名前 50 的候选，合并重复项并打乱顺序，隐藏方法名和得分。评审者看到双方原文、关系及条件，先判定各侧证据是否成立，再判断匹配质量。另抽取约 50 个中低排名或困难候选诊断误差；这一集合不冒充全空间随机评价。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4309"/>
        <w:gridCol w:w="345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判定原则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报告形式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两侧证据有效性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双方关系均由所引原文支持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有效数与失败原因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关系匹配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2 分为明确匹配，1 分为部分或条件不足，0 分为不匹配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严格 P@20、P@50 及分级结果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条件兼容性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已支持、存在冲突、信息不足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单独计数，不替代匹配标签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多样性与覆盖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独立概念族、关系类型、论文来源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覆盖数与集中度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复核负担</w:t>
            </w:r>
          </w:p>
        </w:tc>
        <w:tc>
          <w:tcPr>
            <w:tcW w:type="dxa" w:w="4309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每个有效候选所需检查时间</w:t>
            </w:r>
          </w:p>
        </w:tc>
        <w:tc>
          <w:tcPr>
            <w:tcW w:type="dxa" w:w="345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时间与有效产出比例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r>
        <w:t>严格 P@K 以该方法前 K 个候选中“双侧证据有效且匹配为 2 分”的数量除以 K。相同候选只标注一次，映射回所有出现它的方法。若有效候选不足 K，报告实际数量及覆盖缺口，不能悄悄缩小分母使精度升高。由于缺少全空间金标准，不报告整个候选空间的召回率，也不把未标注项全部设为负例。</w:t>
      </w:r>
    </w:p>
    <w:p>
      <w:r>
        <w:t>比较时报告绝对差值、样本量和不确定性。候选常共享论文或概念，不能假设彼此独立；若评价规模支持，可按概念族或论文组重采样，并在更多查询组上验证稳定性。四个 Top 50 列表的单次结果属于探索性证据，不能单凭小幅差值宣布普遍优越。</w:t>
      </w:r>
    </w:p>
    <w:p>
      <w:pPr>
        <w:pStyle w:val="Heading2"/>
      </w:pPr>
      <w:r>
        <w:t>消融与案例</w:t>
      </w:r>
    </w:p>
    <w:p>
      <w:r>
        <w:t>分别去掉方向、条件和邻域项，检查提升来自何处。对原本跨检索集合重复的 66 篇 TG 文献，以及相邻领域、综述、混合机制标签做单独敏感性分析，默认全集保持不变。</w:t>
      </w:r>
    </w:p>
    <w:p>
      <w:r>
        <w:t>选择 3 至 5 个不同类型案例进行全文复核，至少包含一个失败或条件冲突案例。每例记录双方证据、匹配理由、替代解释、已知先例与尚缺实验。新颖性需要额外检索文献及必要的专利资料；摘要库中未出现，不等于世界上尚未发表。</w:t>
      </w:r>
    </w:p>
    <w:p>
      <w:r>
        <w:br w:type="page"/>
      </w:r>
    </w:p>
    <w:p>
      <w:pPr>
        <w:pStyle w:val="Heading1"/>
        <w:spacing w:before="0"/>
      </w:pPr>
      <w:r>
        <w:t>7 时间安排与最小交付</w:t>
      </w:r>
    </w:p>
    <w:p>
      <w:r>
        <w:t>首轮按约四周的研究工作量安排，实际日历时间受人工复核、全文可得性和订阅额度影响。优先完成可检验的最小闭环，若抽取质量尚未通过验收，后续阶段顺延，不以按时完成代替质量要求。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4535"/>
        <w:gridCol w:w="3855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E8EFF4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验收产物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第 1 周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冻结语料；40 篇开发试验；独立验收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抽取规范、人工参考标注、质量报告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第 2 周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全量批处理与分层抽查；分别建图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两域图谱、证据索引、覆盖与错误统计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第 3 周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候选检索、基线和约束方法；冻结参数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候选表、开发集、运行配置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第 4 周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最终盲评、消融、全文案例与总结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比较结果、案例档案、拓展决策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p>
      <w:pPr>
        <w:pStyle w:val="Heading2"/>
      </w:pPr>
      <w:r>
        <w:t>文件与可复现要求</w:t>
      </w:r>
    </w:p>
    <w:p>
      <w:r>
        <w:t>新增研究结果保存于独立目录，建议采用 corpus、schema、extractions、graphs、matching、evaluation、cases 和 runs 等子目录，分别存放输入快照、规范、原始抽取、图谱、匹配、标注、案例和运行记录。保留现有语料及历史文件，不覆盖撤回材料或旧结果。</w:t>
      </w:r>
    </w:p>
    <w:p>
      <w:r>
        <w:t>最小交付包括：数据版本清单；抽取提示词和 JSON Schema；逐篇原始与解析输出；人工标注与错误清单；两域节点和关系表；候选及分项得分；冻结的开发与测试清单；评价脚本、配置与结果；3 至 5 份案例记录。每项统计能追溯到输入文件、模型运行和论文证据。</w:t>
      </w:r>
    </w:p>
    <w:p>
      <w:r>
        <w:t>模型自报置信度不直接作为概率。记录随机种子可复现本地抽样与排序，但云端模型输出仍可能变化；保存原始回复与缓存，重复抽取一组固定锚定摘要，以测量稳定性。图中每条机器关系携带审核状态，任何发布图表都注明对应的证据层。</w:t>
      </w:r>
    </w:p>
    <w:p>
      <w:pPr>
        <w:pStyle w:val="Heading2"/>
      </w:pPr>
      <w:r>
        <w:t>三种结束方式</w:t>
      </w:r>
    </w:p>
    <w:p>
      <w:r>
        <w:t>若抽取质量合格，且关系或邻域约束在多个评价切片上稳定改善匹配，首轮成果可以支撑方法比较与案例分析，优先扩大独立评价和全文验证。</w:t>
      </w:r>
    </w:p>
    <w:p>
      <w:r>
        <w:t>若抽取合格但结构没有稳定增益，保留语义基线作为有效结果，分析图稀疏、关系不完整及高频节点影响。此时优先改善证据和候选召回，不为追求更好指标立即堆叠复杂模型。</w:t>
      </w:r>
    </w:p>
    <w:p>
      <w:r>
        <w:t>若抽取仍存在系统性虚构、漏抽或方向错误，暂停全量扩展，交付失败分析和经复核的小规模集合，收窄关系范围或改进抽取方式。首轮可以得出负面结论；不得把高排名候选包装成已验证的材料创新。</w:t>
      </w:r>
    </w:p>
    <w:p>
      <w:r>
        <w:br w:type="page"/>
      </w:r>
    </w:p>
    <w:p>
      <w:pPr>
        <w:pStyle w:val="Heading1"/>
        <w:spacing w:before="0"/>
      </w:pPr>
      <w:r>
        <w:t>8 试验结束后的近期拓展</w:t>
      </w:r>
    </w:p>
    <w:p>
      <w:r>
        <w:t>以下拓展按首轮暴露的问题选择。阶段结束时为每个方向填写“已具备证据、尚缺数据、预期收益、工作量和停止条件”，优先开展能回答当前不确定性的工作，不将所有方向并行铺开。</w:t>
      </w:r>
    </w:p>
    <w:p>
      <w:pPr>
        <w:pStyle w:val="Heading2"/>
      </w:pPr>
      <w:r>
        <w:t>全文证据与条件图谱</w:t>
      </w:r>
    </w:p>
    <w:p>
      <w:r>
        <w:t>当摘要遗漏浓度、温度、测量方式或关键因果链，导致候选长期停留在“信息不足”时，选择 30 至 50 篇与代表性候选相关的全文和补充材料。保留段落、页码、表格位置及抽取方式，重点增加条件、测量值和对照体系。该样本用于案例深化，不能直接代表全部语料。</w:t>
      </w:r>
    </w:p>
    <w:p>
      <w:r>
        <w:t>分别建立“摘要版”和“摘要加全文版”，在固定候选与同一评审规则下比较条件完整率、关系修订比例及科学兼容性判定变化。全文纠正摘要理解时保留冲突记录。若新增信息无法改善候选判断，应停止无差别扩大全文处理，转向更有信息量的文献。</w:t>
      </w:r>
    </w:p>
    <w:p>
      <w:pPr>
        <w:pStyle w:val="Heading2"/>
      </w:pPr>
      <w:r>
        <w:t>扩大独立评价与外部可复用资源</w:t>
      </w:r>
    </w:p>
    <w:p>
      <w:r>
        <w:t>当 Top 50 评价显示有潜在增益但不确定性较大时，扩大查询组和概念族覆盖，优先积累 200 至 500 个独立复核的跨图候选。实际规模依据首轮效应、候选相关性和标注成本确定，不把该范围当作已经完成的统计功效计算。</w:t>
      </w:r>
    </w:p>
    <w:p>
      <w:r>
        <w:t>构建一致的正例、部分匹配例、条件冲突例和难负例，保留分歧与裁决。增加第二位领域评审者，报告一致性与裁决前后的结果。公开时优先发布结构化标注、文献标识、代码和可依法分享的证据片段；完整摘要或全文的分发按其许可处理。</w:t>
      </w:r>
    </w:p>
    <w:p>
      <w:pPr>
        <w:pStyle w:val="Heading2"/>
      </w:pPr>
      <w:r>
        <w:t>跨关系与局部子图匹配</w:t>
      </w:r>
    </w:p>
    <w:p>
      <w:r>
        <w:t>当单条关系无法描述多步骤机制，而且局部邻域证据足够完整时，将匹配单元扩展到两条关系组成的路径或小型子图。例如比较“材料影响过程、过程关联性能”的结构；具体路径必须来自真实抽取，不能按预想机制补边。</w:t>
      </w:r>
    </w:p>
    <w:p>
      <w:r>
        <w:t>以关系级方法为基线，逐步比较一跳与两跳结构，检查证据覆盖、路径长度和通用枢纽节点造成的偏差。局部子图匹配可借鉴 SimGRAG 的结构检索思路［3］，但需要重新定义本任务的评分和评价，不能直接把其原论文效果当作本项目的预期结果。</w:t>
      </w:r>
    </w:p>
    <w:p>
      <w:pPr>
        <w:pStyle w:val="Heading2"/>
      </w:pPr>
      <w:r>
        <w:t>本地模型与成本优化</w:t>
      </w:r>
    </w:p>
    <w:p>
      <w:r>
        <w:t>全量抽取成本成为瓶颈后，使用冻结的人工评价集比较强模型与工作站可运行模型，分别测量严格精度、召回、条件遗漏、耗时和修订负担。只有局部模型达到预设质量要求，才用于常规摘要；困难样本保留强模型复核。更换模型后记录图谱差异，避免成本优化悄悄改变研究结论。</w:t>
      </w:r>
    </w:p>
    <w:p>
      <w:r>
        <w:br w:type="page"/>
      </w:r>
    </w:p>
    <w:p>
      <w:pPr>
        <w:pStyle w:val="Heading1"/>
        <w:spacing w:before="0"/>
      </w:pPr>
      <w:r>
        <w:t>9 中长期拓展与论文组织</w:t>
      </w:r>
    </w:p>
    <w:p>
      <w:pPr>
        <w:pStyle w:val="Heading2"/>
      </w:pPr>
      <w:r>
        <w:t>时间回测与前瞻验证</w:t>
      </w:r>
    </w:p>
    <w:p>
      <w:r>
        <w:t>如果积累了足够年份、可靠发表日期和未来可核查的事件，可定义时间切分任务：仅用截止年份前的文献构图和生成候选，再检查之后文献是否报告与候选相符的关系或组合。事件定义与时间窗口先冻结，实体别名和特征不得用未来数据拟合；未出现只表示“尚未观察到”，不自动当作科学负例。</w:t>
      </w:r>
    </w:p>
    <w:p>
      <w:r>
        <w:t>使用当代大模型回测旧年份文献时，模型可能已见过未来知识。因此这种回测应明确标为回顾性分析，并限制模型只引用给定证据；真正检验发现能力，需要冻结当前候选，持续观察后续新文献或实验。若专门研究 iTE 到 TG 的迁移，应另设方向性任务，不能用它替代本方案的双图匹配目标。</w:t>
      </w:r>
    </w:p>
    <w:p>
      <w:pPr>
        <w:pStyle w:val="Heading2"/>
      </w:pPr>
      <w:r>
        <w:t>学习式对齐与不确定性</w:t>
      </w:r>
    </w:p>
    <w:p>
      <w:r>
        <w:t>当有足够独立人工标注、规则方法已经表现出稳定不足时，再试验轻量排序器或实体与关系联合对齐；EREM 可提供联合建模的参考［2］。图神经网络应以图结构密度、训练标签和可比较基线为前提。相同概念或来源论文泄漏到训练和测试两侧时，复杂模型容易虚高，必须使用组级划分并报告学习曲线。</w:t>
      </w:r>
    </w:p>
    <w:p>
      <w:r>
        <w:t>有可用独立标注后，可校准匹配分数或给出拒答区间，将信息不足、证据冲突和稳定匹配区分开。记录领域差异与条件缺失，而不是让模型输出一个看似精确的“成功概率”。若复杂方法无法稳定超过轻量基线，保留更简单的实现。</w:t>
      </w:r>
    </w:p>
    <w:p>
      <w:pPr>
        <w:pStyle w:val="Heading2"/>
      </w:pPr>
      <w:r>
        <w:t>机制假设与实验验证</w:t>
      </w:r>
    </w:p>
    <w:p>
      <w:r>
        <w:t>对全文核查后仍有价值的 1 至 3 个候选，由领域研究者提出可证伪假设、控制变量和测量指标。实验比较至少应能区分基准体系、目标改动与关键对照；重复次数、样本量和成功标准根据实际测量噪声与首轮结果确定。记录负结果，不事后更换主要指标。</w:t>
      </w:r>
    </w:p>
    <w:p>
      <w:r>
        <w:t>跨图匹配可以支持借鉴材料作用、过程调控或性能表征的研究假设；是否需要真实器件耦合由科学问题决定。只有当候选明确涉及耦合，且条件、界面与测量设计支持时，才启动相关实验。候选排名不能直接推出某材料配方、反应机制或性能改善。</w:t>
      </w:r>
    </w:p>
    <w:p>
      <w:pPr>
        <w:pStyle w:val="Heading2"/>
      </w:pPr>
      <w:r>
        <w:t>论文与后续成果</w:t>
      </w:r>
    </w:p>
    <w:p>
      <w:r>
        <w:t>首篇工作围绕任务定义、证据化抽取、受控匹配比较和案例复核组织。建议图表依次展示语料与流程、两域关系覆盖、基线及消融、误差类型、案例证据链；把图谱可视化作为解释材料，避免用视觉复杂度替代评价。</w:t>
      </w:r>
    </w:p>
    <w:p>
      <w:r>
        <w:t>后续工作按证据成熟度形成全文条件图谱、局部子图匹配、前瞻验证或实验论文。每个方向都需要新增可检验问题和独立结果。是否具备投稿价值，以实际方法增益、资源质量或经验证的科学发现判断，不能在试验前承诺期刊层级。</w:t>
      </w:r>
    </w:p>
    <w:p>
      <w:r>
        <w:br w:type="page"/>
      </w:r>
    </w:p>
    <w:p>
      <w:pPr>
        <w:pStyle w:val="Heading1"/>
        <w:spacing w:before="0"/>
      </w:pPr>
      <w:r>
        <w:t>10 参考依据与执行检查</w:t>
      </w:r>
    </w:p>
    <w:p>
      <w:pPr>
        <w:pStyle w:val="Heading2"/>
      </w:pPr>
      <w:r>
        <w:t>方法与工具来源</w:t>
      </w:r>
    </w:p>
    <w:p>
      <w:pPr>
        <w:spacing w:after="80" w:line="310" w:lineRule="exact"/>
      </w:pPr>
      <w:r>
        <w:rPr>
          <w:sz w:val="21"/>
        </w:rPr>
        <w:t>［1］Stewart I A, Hage T P, Hsu Y C, Buehler M J. GraphAgents: Knowledge Graph-Guided Agentic AI for Cross-Domain Materials Design. arXiv:2602.07491, 2026。所参考版本为预印本，用于跨领域知识图谱辅助设计的方法背景。</w:t>
      </w:r>
    </w:p>
    <w:p>
      <w:pPr>
        <w:spacing w:after="100"/>
      </w:pPr>
      <w:hyperlink r:id="rId11">
        <w:r>
          <w:rPr>
            <w:color w:val="24516C"/>
            <w:sz w:val="19"/>
          </w:rPr>
          <w:t>https://arxiv.org/abs/2602.07491</w:t>
        </w:r>
      </w:hyperlink>
    </w:p>
    <w:p>
      <w:pPr>
        <w:spacing w:after="80" w:line="310" w:lineRule="exact"/>
      </w:pPr>
      <w:r>
        <w:rPr>
          <w:sz w:val="21"/>
        </w:rPr>
        <w:t>［2］Fang X 等. Beyond Entity Alignment: Towards Complete Knowledge Graph Alignment via Entity-Relation Synergy. arXiv:2407.17745, 2024。用于实体与关系联合对齐的后续拓展参考；不将通用对齐直接等同于跨领域科学兼容性。</w:t>
      </w:r>
    </w:p>
    <w:p>
      <w:pPr>
        <w:spacing w:after="100"/>
      </w:pPr>
      <w:hyperlink r:id="rId12">
        <w:r>
          <w:rPr>
            <w:color w:val="24516C"/>
            <w:sz w:val="19"/>
          </w:rPr>
          <w:t>https://arxiv.org/abs/2407.17745</w:t>
        </w:r>
      </w:hyperlink>
    </w:p>
    <w:p>
      <w:pPr>
        <w:spacing w:after="80" w:line="310" w:lineRule="exact"/>
      </w:pPr>
      <w:r>
        <w:rPr>
          <w:sz w:val="21"/>
        </w:rPr>
        <w:t>［3］Cai Y 等. SimGRAG: Leveraging Similar Subgraphs for Knowledge Graphs Driven Retrieval-Augmented Generation. Findings of ACL, 2025, 3139–3158。用于语义与局部图结构检索的方法参考。其原任务与本研究不同，需要独立验证。</w:t>
      </w:r>
    </w:p>
    <w:p>
      <w:pPr>
        <w:spacing w:after="100"/>
      </w:pPr>
      <w:hyperlink r:id="rId13">
        <w:r>
          <w:rPr>
            <w:color w:val="24516C"/>
            <w:sz w:val="19"/>
          </w:rPr>
          <w:t>https://aclanthology.org/2025.findings-acl.163/</w:t>
        </w:r>
      </w:hyperlink>
    </w:p>
    <w:p>
      <w:pPr>
        <w:spacing w:after="80" w:line="310" w:lineRule="exact"/>
      </w:pPr>
      <w:r>
        <w:rPr>
          <w:sz w:val="21"/>
        </w:rPr>
        <w:t>［4］OpenAI. Non-interactive mode 与 Authentication。用于 Codex CLI 批处理、结构化输出、已有账号登录方式的执行依据。</w:t>
      </w:r>
    </w:p>
    <w:p>
      <w:pPr>
        <w:spacing w:after="100"/>
      </w:pPr>
      <w:hyperlink r:id="rId14">
        <w:r>
          <w:rPr>
            <w:color w:val="24516C"/>
            <w:sz w:val="19"/>
          </w:rPr>
          <w:t>https://learn.chatgpt.com/docs/non-interactive-mode</w:t>
        </w:r>
      </w:hyperlink>
    </w:p>
    <w:p>
      <w:pPr>
        <w:spacing w:after="100"/>
      </w:pPr>
      <w:hyperlink r:id="rId15">
        <w:r>
          <w:rPr>
            <w:color w:val="24516C"/>
            <w:sz w:val="19"/>
          </w:rPr>
          <w:t>https://developers.openai.com/codex/auth</w:t>
        </w:r>
      </w:hyperlink>
    </w:p>
    <w:p>
      <w:pPr>
        <w:spacing w:after="80" w:line="310" w:lineRule="exact"/>
      </w:pPr>
      <w:r>
        <w:rPr>
          <w:sz w:val="21"/>
        </w:rPr>
        <w:t>［5］OpenAI. Codex Pricing。订阅额度与可用模型可能变化，正式运行以账号当时状态为准；本计划不假定无限额度或固定吞吐。</w:t>
      </w:r>
    </w:p>
    <w:p>
      <w:pPr>
        <w:spacing w:after="100"/>
      </w:pPr>
      <w:hyperlink r:id="rId16">
        <w:r>
          <w:rPr>
            <w:color w:val="24516C"/>
            <w:sz w:val="19"/>
          </w:rPr>
          <w:t>https://developers.openai.com/codex/pricing</w:t>
        </w:r>
      </w:hyperlink>
    </w:p>
    <w:p>
      <w:pPr>
        <w:pStyle w:val="Heading2"/>
      </w:pPr>
      <w:r>
        <w:t>本地依据</w:t>
      </w:r>
    </w:p>
    <w:p>
      <w:pPr>
        <w:spacing w:after="80" w:line="310" w:lineRule="exact"/>
      </w:pPr>
      <w:r>
        <w:rPr>
          <w:sz w:val="21"/>
        </w:rPr>
        <w:t>［6］cleaned_ite_tg/README.md、AGENTS.md、manifest.json 与 verify.py。用于默认输入、去重规则、计数、缺摘要记录和追溯约束。校验日期为 2026 年 9 月 20 日。</w:t>
      </w:r>
    </w:p>
    <w:p>
      <w:pPr>
        <w:spacing w:after="80" w:line="310" w:lineRule="exact"/>
      </w:pPr>
      <w:r>
        <w:rPr>
          <w:sz w:val="21"/>
        </w:rPr>
        <w:t>［7］iTE-TG/README.md、交接说明.md、cleanroom_abstract_pair_layer/README.md 及 evidence_graph/README_CN.md。用于历史撤回状态、旧语料范围、证据层结构及脚本可移植性限制。历史结果未按当前默认语料重算。</w:t>
      </w:r>
    </w:p>
    <w:p>
      <w:pPr>
        <w:pStyle w:val="Heading2"/>
      </w:pPr>
      <w:r>
        <w:t>首轮结束时的检查项</w:t>
      </w:r>
    </w:p>
    <w:p>
      <w:pPr>
        <w:pStyle w:val="ListBullet"/>
      </w:pPr>
      <w:r>
        <w:t>默认语料与去重政策保持可追溯，所有缺失或失败记录均有状态。</w:t>
      </w:r>
    </w:p>
    <w:p>
      <w:pPr>
        <w:pStyle w:val="ListBullet"/>
      </w:pPr>
      <w:r>
        <w:t>模型版本、提示词、输入输出、图谱版本和运行配置能够对应。</w:t>
      </w:r>
    </w:p>
    <w:p>
      <w:pPr>
        <w:pStyle w:val="ListBullet"/>
      </w:pPr>
      <w:r>
        <w:t>抽取开发、验收与匹配测试之间的使用边界有记录。</w:t>
      </w:r>
    </w:p>
    <w:p>
      <w:pPr>
        <w:pStyle w:val="ListBullet"/>
      </w:pPr>
      <w:r>
        <w:t>基线共享输入与候选集，最终评价不依赖模型自评分。</w:t>
      </w:r>
    </w:p>
    <w:p>
      <w:pPr>
        <w:pStyle w:val="ListBullet"/>
      </w:pPr>
      <w:r>
        <w:t>候选、已复核关系、科学兼容性与实验结果分别表述。</w:t>
      </w:r>
    </w:p>
    <w:p>
      <w:pPr>
        <w:pStyle w:val="ListBullet"/>
      </w:pPr>
      <w:r>
        <w:t>交付正面和负面结果，并依据实际瓶颈选择下一阶段。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1020" w:left="116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6"/>
      </w:rPr>
      <w:t>iTE 与 TG 双知识图谱研究方案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120"/>
    </w:pPr>
    <w:rPr>
      <w:rFonts w:ascii="Calibri" w:hAnsi="Calibri" w:eastAsia="Songti SC"/>
      <w:b w:val="0"/>
      <w:color w:val="000000"/>
      <w:sz w:val="23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69" w:lineRule="auto"/>
      <w:outlineLvl w:val="0"/>
    </w:pPr>
    <w:rPr>
      <w:rFonts w:ascii="Calibri" w:hAnsi="Calibri" w:eastAsia="Heiti SC"/>
      <w:b/>
      <w:bCs/>
      <w:color w:val="000000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="Calibri" w:hAnsi="Calibri" w:eastAsia="Heiti SC"/>
      <w:b/>
      <w:bCs/>
      <w:color w:val="000000"/>
      <w:sz w:val="25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69" w:lineRule="auto" w:before="0"/>
      <w:contextualSpacing/>
    </w:pPr>
    <w:rPr>
      <w:rFonts w:ascii="Calibri" w:hAnsi="Calibri" w:eastAsia="Heiti SC"/>
      <w:b/>
      <w:color w:val="000000"/>
      <w:spacing w:val="5"/>
      <w:kern w:val="28"/>
      <w:sz w:val="42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Heiti SC"/>
      <w:b w:val="0"/>
      <w:i w:val="0"/>
      <w:iCs/>
      <w:color w:val="000000"/>
      <w:spacing w:val="15"/>
      <w:sz w:val="23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Songti SC"/>
      <w:b w:val="0"/>
      <w:color w:val="000000"/>
      <w:sz w:val="23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602.07491" TargetMode="External"/><Relationship Id="rId12" Type="http://schemas.openxmlformats.org/officeDocument/2006/relationships/hyperlink" Target="https://arxiv.org/abs/2407.17745" TargetMode="External"/><Relationship Id="rId13" Type="http://schemas.openxmlformats.org/officeDocument/2006/relationships/hyperlink" Target="https://aclanthology.org/2025.findings-acl.163/" TargetMode="External"/><Relationship Id="rId14" Type="http://schemas.openxmlformats.org/officeDocument/2006/relationships/hyperlink" Target="https://learn.chatgpt.com/docs/non-interactive-mode" TargetMode="External"/><Relationship Id="rId15" Type="http://schemas.openxmlformats.org/officeDocument/2006/relationships/hyperlink" Target="https://developers.openai.com/codex/auth" TargetMode="External"/><Relationship Id="rId16" Type="http://schemas.openxmlformats.org/officeDocument/2006/relationships/hyperlink" Target="https://developers.openai.com/codex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 与 TG 双知识图谱构建及跨图匹配研究方案</dc:title>
  <dc:subject>研究计划与试验后拓展路线</dc:subject>
  <dc:creator/>
  <cp:keywords>iTE, TG, 知识图谱, 关系匹配, 研究计划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