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iTE 与 TG 双知识图谱构建、域内机制图谱与跨图匹配研究方案</w:t>
      </w:r>
    </w:p>
    <w:p>
      <w:pPr>
        <w:pStyle w:val="Subtitle"/>
      </w:pPr>
      <w:r>
        <w:t>基于全量摘要核心陈述抽取结果的可执行版本</w:t>
      </w:r>
    </w:p>
    <w:p>
      <w:pPr>
        <w:spacing w:after="200"/>
      </w:pPr>
      <w:r>
        <w:t>版本 2.0　编制日期 2026 年 9 月 21 日</w:t>
      </w:r>
    </w:p>
    <w:p>
      <w:pPr>
        <w:pStyle w:val="Heading1"/>
      </w:pPr>
      <w:r>
        <w:t>1 当前研究位置、目标与总体设计</w:t>
      </w:r>
    </w:p>
    <w:p>
      <w:pPr/>
      <w:r>
        <w:t>本项目已不处于“是否开展全量抽取”的准备阶段。当前默认语料共 1,977 篇论文，其中 1,971 篇具有摘要并已完成第一轮核心陈述抽取，6 篇缺摘要记录完整保留。下一阶段的直接任务是：在不破坏原文证据可追溯性的前提下，完成概念语义归一化与角色重标注，分别构建 iTE 与 TG 的域内机制图谱，再在冻结的两张图谱之间开展受控的跨图关系与局部结构匹配。</w:t>
      </w:r>
    </w:p>
    <w:p>
      <w:pPr>
        <w:pStyle w:val="Heading2"/>
      </w:pPr>
      <w:r>
        <w:t>研究问题</w:t>
      </w:r>
    </w:p>
    <w:p>
      <w:pPr>
        <w:ind w:left="255" w:hanging="198"/>
      </w:pPr>
      <w:r>
        <w:t>1. iTE 与 TG 各自的机制知识空间如何组织？哪些相互作用、过程、物理量和性能关系形成稳定的域内结构？</w:t>
      </w:r>
    </w:p>
    <w:p>
      <w:pPr>
        <w:ind w:left="255" w:hanging="198"/>
      </w:pPr>
      <w:r>
        <w:t>2. 在保留摘要原文证据的情况下，如何把大量不同写法的机制表述归一为可分析、可追溯、不过度合并的概念图？</w:t>
      </w:r>
    </w:p>
    <w:p>
      <w:pPr>
        <w:ind w:left="255" w:hanging="198"/>
      </w:pPr>
      <w:r>
        <w:t>3. 在相同抽取结果和候选集合下，关系方向、条件、概念层级及一跳邻域信息能否比单纯语义相似度产生更可靠的跨图匹配？</w:t>
      </w:r>
    </w:p>
    <w:p>
      <w:pPr>
        <w:ind w:left="255" w:hanging="198"/>
      </w:pPr>
      <w:r>
        <w:t>4. 哪些跨图候选在全文核查后具有物理可比性、条件兼容性或潜在研究启发，哪些只是术语或结构上的表面相似？</w:t>
      </w:r>
    </w:p>
    <w:p>
      <w:pPr>
        <w:pStyle w:val="Heading2"/>
      </w:pPr>
      <w:r>
        <w:t>结果边界</w:t>
      </w:r>
    </w:p>
    <w:p>
      <w:pPr>
        <w:ind w:left="312" w:hanging="170"/>
      </w:pPr>
      <w:r>
        <w:t>• iTE 与 TG 是当前检索集合的来源标签，不等于每篇论文的物理机制真值；混合机制、相邻领域、综述、传感与器件工程文献继续保留，并通过分析范围字段区分。</w:t>
      </w:r>
    </w:p>
    <w:p>
      <w:pPr>
        <w:ind w:left="312" w:hanging="170"/>
      </w:pPr>
      <w:r>
        <w:t>• 第一轮抽取是“每篇核心陈述”而非摘要内穷尽抽取，因此缺少某节点或边只表示“本轮未抽取/摘要未明确支持”，不能当作该机制不存在。</w:t>
      </w:r>
    </w:p>
    <w:p>
      <w:pPr>
        <w:ind w:left="312" w:hanging="170"/>
      </w:pPr>
      <w:r>
        <w:t>• 跨图匹配不等于单向知识迁移，更不等于材料方案可直接复用。关系匹配、条件兼容、科学可迁移性和实验验证必须分别评价。</w:t>
      </w:r>
    </w:p>
    <w:p>
      <w:pPr>
        <w:ind w:left="312" w:hanging="170"/>
      </w:pPr>
      <w:r>
        <w:t>• 采用 Codex、知识图谱或图算法本身不构成方法贡献；贡献来自可复查的证据化数据、明确的任务定义、受控比较及经复核的科学发现。</w:t>
      </w:r>
    </w:p>
    <w:tbl>
      <w:tblPr>
        <w:tblStyle w:val="TableGrid"/>
        <w:tblW w:type="auto" w:w="0"/>
        <w:jc w:val="center"/>
        <w:tblLayout w:type="autofit"/>
        <w:tblLook w:firstColumn="1" w:firstRow="1" w:lastColumn="0" w:lastRow="0" w:noHBand="0" w:noVBand="1" w:val="04A0"/>
      </w:tblPr>
      <w:tblGrid>
        <w:gridCol w:w="3194"/>
        <w:gridCol w:w="3194"/>
        <w:gridCol w:w="3194"/>
      </w:tblGrid>
      <w:tr>
        <w:trPr>
          <w:tblHeader w:val="true"/>
          <w:cantSplit/>
        </w:trPr>
        <w:tc>
          <w:tcPr>
            <w:tcW w:type="dxa" w:w="1814"/>
            <w:vAlign w:val="center"/>
            <w:shd w:fill="D9E1F2"/>
          </w:tcPr>
          <w:p>
            <w:pPr>
              <w:spacing w:after="0" w:line="240" w:lineRule="auto"/>
            </w:pPr>
            <w:r/>
            <w:r>
              <w:rPr>
                <w:rFonts w:ascii="Calibri" w:hAnsi="Calibri" w:eastAsia="Microsoft YaHei"/>
                <w:b/>
                <w:sz w:val="17"/>
              </w:rPr>
              <w:t>阶段</w:t>
            </w:r>
          </w:p>
        </w:tc>
        <w:tc>
          <w:tcPr>
            <w:tcW w:type="dxa" w:w="1757"/>
            <w:vAlign w:val="center"/>
            <w:shd w:fill="D9E1F2"/>
          </w:tcPr>
          <w:p>
            <w:pPr>
              <w:spacing w:after="0" w:line="240" w:lineRule="auto"/>
            </w:pPr>
            <w:r/>
            <w:r>
              <w:rPr>
                <w:rFonts w:ascii="Calibri" w:hAnsi="Calibri" w:eastAsia="Microsoft YaHei"/>
                <w:b/>
                <w:sz w:val="17"/>
              </w:rPr>
              <w:t>当前状态</w:t>
            </w:r>
          </w:p>
        </w:tc>
        <w:tc>
          <w:tcPr>
            <w:tcW w:type="dxa" w:w="5216"/>
            <w:vAlign w:val="center"/>
            <w:shd w:fill="D9E1F2"/>
          </w:tcPr>
          <w:p>
            <w:pPr>
              <w:spacing w:after="0" w:line="240" w:lineRule="auto"/>
            </w:pPr>
            <w:r/>
            <w:r>
              <w:rPr>
                <w:rFonts w:ascii="Calibri" w:hAnsi="Calibri" w:eastAsia="Microsoft YaHei"/>
                <w:b/>
                <w:sz w:val="17"/>
              </w:rPr>
              <w:t>主要产物/下一步</w:t>
            </w:r>
          </w:p>
        </w:tc>
      </w:tr>
      <w:tr>
        <w:trPr>
          <w:cantSplit/>
        </w:trPr>
        <w:tc>
          <w:tcPr>
            <w:tcW w:type="dxa" w:w="1814"/>
            <w:vAlign w:val="center"/>
          </w:tcPr>
          <w:p>
            <w:pPr>
              <w:spacing w:after="0" w:line="240" w:lineRule="auto"/>
            </w:pPr>
            <w:r/>
            <w:r>
              <w:rPr>
                <w:rFonts w:ascii="Calibri" w:hAnsi="Calibri" w:eastAsia="Microsoft YaHei"/>
                <w:b w:val="0"/>
                <w:sz w:val="17"/>
              </w:rPr>
              <w:t>Stage 1  全量证据抽取</w:t>
            </w:r>
          </w:p>
        </w:tc>
        <w:tc>
          <w:tcPr>
            <w:tcW w:type="dxa" w:w="1757"/>
            <w:vAlign w:val="center"/>
          </w:tcPr>
          <w:p>
            <w:pPr>
              <w:spacing w:after="0" w:line="240" w:lineRule="auto"/>
            </w:pPr>
            <w:r/>
            <w:r>
              <w:rPr>
                <w:rFonts w:ascii="Calibri" w:hAnsi="Calibri" w:eastAsia="Microsoft YaHei"/>
                <w:b w:val="0"/>
                <w:sz w:val="17"/>
              </w:rPr>
              <w:t>已完成第一轮</w:t>
            </w:r>
          </w:p>
        </w:tc>
        <w:tc>
          <w:tcPr>
            <w:tcW w:type="dxa" w:w="5216"/>
            <w:vAlign w:val="center"/>
          </w:tcPr>
          <w:p>
            <w:pPr>
              <w:spacing w:after="0" w:line="240" w:lineRule="auto"/>
            </w:pPr>
            <w:r/>
            <w:r>
              <w:rPr>
                <w:rFonts w:ascii="Calibri" w:hAnsi="Calibri" w:eastAsia="Microsoft YaHei"/>
                <w:b w:val="0"/>
                <w:sz w:val="17"/>
              </w:rPr>
              <w:t>1,971 篇摘要核心陈述；节点/关系证据表；结构校验与可复现脚本</w:t>
            </w:r>
          </w:p>
        </w:tc>
      </w:tr>
      <w:tr>
        <w:trPr>
          <w:cantSplit/>
        </w:trPr>
        <w:tc>
          <w:tcPr>
            <w:tcW w:type="dxa" w:w="1814"/>
            <w:vAlign w:val="center"/>
          </w:tcPr>
          <w:p>
            <w:pPr>
              <w:spacing w:after="0" w:line="240" w:lineRule="auto"/>
            </w:pPr>
            <w:r/>
            <w:r>
              <w:rPr>
                <w:rFonts w:ascii="Calibri" w:hAnsi="Calibri" w:eastAsia="Microsoft YaHei"/>
                <w:b w:val="0"/>
                <w:sz w:val="17"/>
              </w:rPr>
              <w:t>Stage 2  概念归一化与质量审计</w:t>
            </w:r>
          </w:p>
        </w:tc>
        <w:tc>
          <w:tcPr>
            <w:tcW w:type="dxa" w:w="1757"/>
            <w:vAlign w:val="center"/>
          </w:tcPr>
          <w:p>
            <w:pPr>
              <w:spacing w:after="0" w:line="240" w:lineRule="auto"/>
            </w:pPr>
            <w:r/>
            <w:r>
              <w:rPr>
                <w:rFonts w:ascii="Calibri" w:hAnsi="Calibri" w:eastAsia="Microsoft YaHei"/>
                <w:b w:val="0"/>
                <w:sz w:val="17"/>
              </w:rPr>
              <w:t>立即执行</w:t>
            </w:r>
          </w:p>
        </w:tc>
        <w:tc>
          <w:tcPr>
            <w:tcW w:type="dxa" w:w="5216"/>
            <w:vAlign w:val="center"/>
          </w:tcPr>
          <w:p>
            <w:pPr>
              <w:spacing w:after="0" w:line="240" w:lineRule="auto"/>
            </w:pPr>
            <w:r/>
            <w:r>
              <w:rPr>
                <w:rFonts w:ascii="Calibri" w:hAnsi="Calibri" w:eastAsia="Microsoft YaHei"/>
                <w:b w:val="0"/>
                <w:sz w:val="17"/>
              </w:rPr>
              <w:t>概念关系图、语义角色 v2、抽取/归一化质量报告</w:t>
            </w:r>
          </w:p>
        </w:tc>
      </w:tr>
      <w:tr>
        <w:trPr>
          <w:cantSplit/>
        </w:trPr>
        <w:tc>
          <w:tcPr>
            <w:tcW w:type="dxa" w:w="1814"/>
            <w:vAlign w:val="center"/>
          </w:tcPr>
          <w:p>
            <w:pPr>
              <w:spacing w:after="0" w:line="240" w:lineRule="auto"/>
            </w:pPr>
            <w:r/>
            <w:r>
              <w:rPr>
                <w:rFonts w:ascii="Calibri" w:hAnsi="Calibri" w:eastAsia="Microsoft YaHei"/>
                <w:b w:val="0"/>
                <w:sz w:val="17"/>
              </w:rPr>
              <w:t>Stage 3  独立域内机制图谱</w:t>
            </w:r>
          </w:p>
        </w:tc>
        <w:tc>
          <w:tcPr>
            <w:tcW w:type="dxa" w:w="1757"/>
            <w:vAlign w:val="center"/>
          </w:tcPr>
          <w:p>
            <w:pPr>
              <w:spacing w:after="0" w:line="240" w:lineRule="auto"/>
            </w:pPr>
            <w:r/>
            <w:r>
              <w:rPr>
                <w:rFonts w:ascii="Calibri" w:hAnsi="Calibri" w:eastAsia="Microsoft YaHei"/>
                <w:b w:val="0"/>
                <w:sz w:val="17"/>
              </w:rPr>
              <w:t>随后执行</w:t>
            </w:r>
          </w:p>
        </w:tc>
        <w:tc>
          <w:tcPr>
            <w:tcW w:type="dxa" w:w="5216"/>
            <w:vAlign w:val="center"/>
          </w:tcPr>
          <w:p>
            <w:pPr>
              <w:spacing w:after="0" w:line="240" w:lineRule="auto"/>
            </w:pPr>
            <w:r/>
            <w:r>
              <w:rPr>
                <w:rFonts w:ascii="Calibri" w:hAnsi="Calibri" w:eastAsia="Microsoft YaHei"/>
                <w:b w:val="0"/>
                <w:sz w:val="17"/>
              </w:rPr>
              <w:t>iTE 与 TG 两张机制图谱、机制 landscape、时间演化与局部 motif</w:t>
            </w:r>
          </w:p>
        </w:tc>
      </w:tr>
      <w:tr>
        <w:trPr>
          <w:cantSplit/>
        </w:trPr>
        <w:tc>
          <w:tcPr>
            <w:tcW w:type="dxa" w:w="1814"/>
            <w:vAlign w:val="center"/>
          </w:tcPr>
          <w:p>
            <w:pPr>
              <w:spacing w:after="0" w:line="240" w:lineRule="auto"/>
            </w:pPr>
            <w:r/>
            <w:r>
              <w:rPr>
                <w:rFonts w:ascii="Calibri" w:hAnsi="Calibri" w:eastAsia="Microsoft YaHei"/>
                <w:b w:val="0"/>
                <w:sz w:val="17"/>
              </w:rPr>
              <w:t>Stage 4  跨图匹配比较</w:t>
            </w:r>
          </w:p>
        </w:tc>
        <w:tc>
          <w:tcPr>
            <w:tcW w:type="dxa" w:w="1757"/>
            <w:vAlign w:val="center"/>
          </w:tcPr>
          <w:p>
            <w:pPr>
              <w:spacing w:after="0" w:line="240" w:lineRule="auto"/>
            </w:pPr>
            <w:r/>
            <w:r>
              <w:rPr>
                <w:rFonts w:ascii="Calibri" w:hAnsi="Calibri" w:eastAsia="Microsoft YaHei"/>
                <w:b w:val="0"/>
                <w:sz w:val="17"/>
              </w:rPr>
              <w:t>图谱冻结后执行</w:t>
            </w:r>
          </w:p>
        </w:tc>
        <w:tc>
          <w:tcPr>
            <w:tcW w:type="dxa" w:w="5216"/>
            <w:vAlign w:val="center"/>
          </w:tcPr>
          <w:p>
            <w:pPr>
              <w:spacing w:after="0" w:line="240" w:lineRule="auto"/>
            </w:pPr>
            <w:r/>
            <w:r>
              <w:rPr>
                <w:rFonts w:ascii="Calibri" w:hAnsi="Calibri" w:eastAsia="Microsoft YaHei"/>
                <w:b w:val="0"/>
                <w:sz w:val="17"/>
              </w:rPr>
              <w:t>精确/语义/关系约束/邻域增强四类方法及盲评结果</w:t>
            </w:r>
          </w:p>
        </w:tc>
      </w:tr>
      <w:tr>
        <w:trPr>
          <w:cantSplit/>
        </w:trPr>
        <w:tc>
          <w:tcPr>
            <w:tcW w:type="dxa" w:w="1814"/>
            <w:vAlign w:val="center"/>
          </w:tcPr>
          <w:p>
            <w:pPr>
              <w:spacing w:after="0" w:line="240" w:lineRule="auto"/>
            </w:pPr>
            <w:r/>
            <w:r>
              <w:rPr>
                <w:rFonts w:ascii="Calibri" w:hAnsi="Calibri" w:eastAsia="Microsoft YaHei"/>
                <w:b w:val="0"/>
                <w:sz w:val="17"/>
              </w:rPr>
              <w:t>Stage 5  全文与案例验证</w:t>
            </w:r>
          </w:p>
        </w:tc>
        <w:tc>
          <w:tcPr>
            <w:tcW w:type="dxa" w:w="1757"/>
            <w:vAlign w:val="center"/>
          </w:tcPr>
          <w:p>
            <w:pPr>
              <w:spacing w:after="0" w:line="240" w:lineRule="auto"/>
            </w:pPr>
            <w:r/>
            <w:r>
              <w:rPr>
                <w:rFonts w:ascii="Calibri" w:hAnsi="Calibri" w:eastAsia="Microsoft YaHei"/>
                <w:b w:val="0"/>
                <w:sz w:val="17"/>
              </w:rPr>
              <w:t>匹配后执行</w:t>
            </w:r>
          </w:p>
        </w:tc>
        <w:tc>
          <w:tcPr>
            <w:tcW w:type="dxa" w:w="5216"/>
            <w:vAlign w:val="center"/>
          </w:tcPr>
          <w:p>
            <w:pPr>
              <w:spacing w:after="0" w:line="240" w:lineRule="auto"/>
            </w:pPr>
            <w:r/>
            <w:r>
              <w:rPr>
                <w:rFonts w:ascii="Calibri" w:hAnsi="Calibri" w:eastAsia="Microsoft YaHei"/>
                <w:b w:val="0"/>
                <w:sz w:val="17"/>
              </w:rPr>
              <w:t>3–5 个正/负案例、条件补全、可证伪假设与后续实验决策</w:t>
            </w:r>
          </w:p>
        </w:tc>
      </w:tr>
    </w:tbl>
    <w:p/>
    <w:p>
      <w:pPr>
        <w:pStyle w:val="Heading1"/>
      </w:pPr>
      <w:r>
        <w:t>2 当前语料、抽取结果与可直接使用的数据资产</w:t>
      </w:r>
    </w:p>
    <w:p>
      <w:pPr>
        <w:pStyle w:val="Heading2"/>
      </w:pPr>
      <w:r>
        <w:t>2.1 语料与覆盖</w:t>
      </w:r>
    </w:p>
    <w:tbl>
      <w:tblPr>
        <w:tblStyle w:val="TableGrid"/>
        <w:tblW w:type="auto" w:w="0"/>
        <w:jc w:val="center"/>
        <w:tblLayout w:type="autofit"/>
        <w:tblLook w:firstColumn="1" w:firstRow="1" w:lastColumn="0" w:lastRow="0" w:noHBand="0" w:noVBand="1" w:val="04A0"/>
      </w:tblPr>
      <w:tblGrid>
        <w:gridCol w:w="1369"/>
        <w:gridCol w:w="1369"/>
        <w:gridCol w:w="1369"/>
        <w:gridCol w:w="1369"/>
        <w:gridCol w:w="1369"/>
        <w:gridCol w:w="1369"/>
        <w:gridCol w:w="1369"/>
      </w:tblGrid>
      <w:tr>
        <w:trPr>
          <w:tblHeader w:val="true"/>
          <w:cantSplit/>
        </w:trPr>
        <w:tc>
          <w:tcPr>
            <w:tcW w:type="dxa" w:w="1134"/>
            <w:vAlign w:val="center"/>
            <w:shd w:fill="D9E1F2"/>
          </w:tcPr>
          <w:p>
            <w:pPr>
              <w:spacing w:after="0" w:line="240" w:lineRule="auto"/>
            </w:pPr>
            <w:r/>
            <w:r>
              <w:rPr>
                <w:rFonts w:ascii="Calibri" w:hAnsi="Calibri" w:eastAsia="Microsoft YaHei"/>
                <w:b/>
                <w:sz w:val="17"/>
              </w:rPr>
              <w:t>来源域</w:t>
            </w:r>
          </w:p>
        </w:tc>
        <w:tc>
          <w:tcPr>
            <w:tcW w:type="dxa" w:w="1020"/>
            <w:vAlign w:val="center"/>
            <w:shd w:fill="D9E1F2"/>
          </w:tcPr>
          <w:p>
            <w:pPr>
              <w:spacing w:after="0" w:line="240" w:lineRule="auto"/>
            </w:pPr>
            <w:r/>
            <w:r>
              <w:rPr>
                <w:rFonts w:ascii="Calibri" w:hAnsi="Calibri" w:eastAsia="Microsoft YaHei"/>
                <w:b/>
                <w:sz w:val="17"/>
              </w:rPr>
              <w:t>总论文</w:t>
            </w:r>
          </w:p>
        </w:tc>
        <w:tc>
          <w:tcPr>
            <w:tcW w:type="dxa" w:w="1020"/>
            <w:vAlign w:val="center"/>
            <w:shd w:fill="D9E1F2"/>
          </w:tcPr>
          <w:p>
            <w:pPr>
              <w:spacing w:after="0" w:line="240" w:lineRule="auto"/>
            </w:pPr>
            <w:r/>
            <w:r>
              <w:rPr>
                <w:rFonts w:ascii="Calibri" w:hAnsi="Calibri" w:eastAsia="Microsoft YaHei"/>
                <w:b/>
                <w:sz w:val="17"/>
              </w:rPr>
              <w:t>extracted</w:t>
            </w:r>
          </w:p>
        </w:tc>
        <w:tc>
          <w:tcPr>
            <w:tcW w:type="dxa" w:w="1644"/>
            <w:vAlign w:val="center"/>
            <w:shd w:fill="D9E1F2"/>
          </w:tcPr>
          <w:p>
            <w:pPr>
              <w:spacing w:after="0" w:line="240" w:lineRule="auto"/>
            </w:pPr>
            <w:r/>
            <w:r>
              <w:rPr>
                <w:rFonts w:ascii="Calibri" w:hAnsi="Calibri" w:eastAsia="Microsoft YaHei"/>
                <w:b/>
                <w:sz w:val="17"/>
              </w:rPr>
              <w:t>no_extractable_claims</w:t>
            </w:r>
          </w:p>
        </w:tc>
        <w:tc>
          <w:tcPr>
            <w:tcW w:type="dxa" w:w="1417"/>
            <w:vAlign w:val="center"/>
            <w:shd w:fill="D9E1F2"/>
          </w:tcPr>
          <w:p>
            <w:pPr>
              <w:spacing w:after="0" w:line="240" w:lineRule="auto"/>
            </w:pPr>
            <w:r/>
            <w:r>
              <w:rPr>
                <w:rFonts w:ascii="Calibri" w:hAnsi="Calibri" w:eastAsia="Microsoft YaHei"/>
                <w:b/>
                <w:sz w:val="17"/>
              </w:rPr>
              <w:t>missing_abstract</w:t>
            </w:r>
          </w:p>
        </w:tc>
        <w:tc>
          <w:tcPr>
            <w:tcW w:type="dxa" w:w="1417"/>
            <w:vAlign w:val="center"/>
            <w:shd w:fill="D9E1F2"/>
          </w:tcPr>
          <w:p>
            <w:pPr>
              <w:spacing w:after="0" w:line="240" w:lineRule="auto"/>
            </w:pPr>
            <w:r/>
            <w:r>
              <w:rPr>
                <w:rFonts w:ascii="Calibri" w:hAnsi="Calibri" w:eastAsia="Microsoft YaHei"/>
                <w:b/>
                <w:sz w:val="17"/>
              </w:rPr>
              <w:t>暂定规范概念</w:t>
            </w:r>
          </w:p>
        </w:tc>
        <w:tc>
          <w:tcPr>
            <w:tcW w:type="dxa" w:w="1020"/>
            <w:vAlign w:val="center"/>
            <w:shd w:fill="D9E1F2"/>
          </w:tcPr>
          <w:p>
            <w:pPr>
              <w:spacing w:after="0" w:line="240" w:lineRule="auto"/>
            </w:pPr>
            <w:r/>
            <w:r>
              <w:rPr>
                <w:rFonts w:ascii="Calibri" w:hAnsi="Calibri" w:eastAsia="Microsoft YaHei"/>
                <w:b/>
                <w:sz w:val="17"/>
              </w:rPr>
              <w:t>关系</w:t>
            </w:r>
          </w:p>
        </w:tc>
      </w:tr>
      <w:tr>
        <w:trPr>
          <w:cantSplit/>
        </w:trPr>
        <w:tc>
          <w:tcPr>
            <w:tcW w:type="dxa" w:w="1134"/>
            <w:vAlign w:val="center"/>
          </w:tcPr>
          <w:p>
            <w:pPr>
              <w:spacing w:after="0" w:line="240" w:lineRule="auto"/>
            </w:pPr>
            <w:r/>
            <w:r>
              <w:rPr>
                <w:rFonts w:ascii="Calibri" w:hAnsi="Calibri" w:eastAsia="Microsoft YaHei"/>
                <w:b w:val="0"/>
                <w:sz w:val="17"/>
              </w:rPr>
              <w:t>iTE</w:t>
            </w:r>
          </w:p>
        </w:tc>
        <w:tc>
          <w:tcPr>
            <w:tcW w:type="dxa" w:w="1020"/>
            <w:vAlign w:val="center"/>
          </w:tcPr>
          <w:p>
            <w:pPr>
              <w:spacing w:after="0" w:line="240" w:lineRule="auto"/>
            </w:pPr>
            <w:r/>
            <w:r>
              <w:rPr>
                <w:rFonts w:ascii="Calibri" w:hAnsi="Calibri" w:eastAsia="Microsoft YaHei"/>
                <w:b w:val="0"/>
                <w:sz w:val="17"/>
              </w:rPr>
              <w:t>1,644</w:t>
            </w:r>
          </w:p>
        </w:tc>
        <w:tc>
          <w:tcPr>
            <w:tcW w:type="dxa" w:w="1020"/>
            <w:vAlign w:val="center"/>
          </w:tcPr>
          <w:p>
            <w:pPr>
              <w:spacing w:after="0" w:line="240" w:lineRule="auto"/>
            </w:pPr>
            <w:r/>
            <w:r>
              <w:rPr>
                <w:rFonts w:ascii="Calibri" w:hAnsi="Calibri" w:eastAsia="Microsoft YaHei"/>
                <w:b w:val="0"/>
                <w:sz w:val="17"/>
              </w:rPr>
              <w:t>1,541</w:t>
            </w:r>
          </w:p>
        </w:tc>
        <w:tc>
          <w:tcPr>
            <w:tcW w:type="dxa" w:w="1644"/>
            <w:vAlign w:val="center"/>
          </w:tcPr>
          <w:p>
            <w:pPr>
              <w:spacing w:after="0" w:line="240" w:lineRule="auto"/>
            </w:pPr>
            <w:r/>
            <w:r>
              <w:rPr>
                <w:rFonts w:ascii="Calibri" w:hAnsi="Calibri" w:eastAsia="Microsoft YaHei"/>
                <w:b w:val="0"/>
                <w:sz w:val="17"/>
              </w:rPr>
              <w:t>98</w:t>
            </w:r>
          </w:p>
        </w:tc>
        <w:tc>
          <w:tcPr>
            <w:tcW w:type="dxa" w:w="1417"/>
            <w:vAlign w:val="center"/>
          </w:tcPr>
          <w:p>
            <w:pPr>
              <w:spacing w:after="0" w:line="240" w:lineRule="auto"/>
            </w:pPr>
            <w:r/>
            <w:r>
              <w:rPr>
                <w:rFonts w:ascii="Calibri" w:hAnsi="Calibri" w:eastAsia="Microsoft YaHei"/>
                <w:b w:val="0"/>
                <w:sz w:val="17"/>
              </w:rPr>
              <w:t>5</w:t>
            </w:r>
          </w:p>
        </w:tc>
        <w:tc>
          <w:tcPr>
            <w:tcW w:type="dxa" w:w="1417"/>
            <w:vAlign w:val="center"/>
          </w:tcPr>
          <w:p>
            <w:pPr>
              <w:spacing w:after="0" w:line="240" w:lineRule="auto"/>
            </w:pPr>
            <w:r/>
            <w:r>
              <w:rPr>
                <w:rFonts w:ascii="Calibri" w:hAnsi="Calibri" w:eastAsia="Microsoft YaHei"/>
                <w:b w:val="0"/>
                <w:sz w:val="17"/>
              </w:rPr>
              <w:t>3,383</w:t>
            </w:r>
          </w:p>
        </w:tc>
        <w:tc>
          <w:tcPr>
            <w:tcW w:type="dxa" w:w="1020"/>
            <w:vAlign w:val="center"/>
          </w:tcPr>
          <w:p>
            <w:pPr>
              <w:spacing w:after="0" w:line="240" w:lineRule="auto"/>
            </w:pPr>
            <w:r/>
            <w:r>
              <w:rPr>
                <w:rFonts w:ascii="Calibri" w:hAnsi="Calibri" w:eastAsia="Microsoft YaHei"/>
                <w:b w:val="0"/>
                <w:sz w:val="17"/>
              </w:rPr>
              <w:t>2,036</w:t>
            </w:r>
          </w:p>
        </w:tc>
      </w:tr>
      <w:tr>
        <w:trPr>
          <w:cantSplit/>
        </w:trPr>
        <w:tc>
          <w:tcPr>
            <w:tcW w:type="dxa" w:w="1134"/>
            <w:vAlign w:val="center"/>
          </w:tcPr>
          <w:p>
            <w:pPr>
              <w:spacing w:after="0" w:line="240" w:lineRule="auto"/>
            </w:pPr>
            <w:r/>
            <w:r>
              <w:rPr>
                <w:rFonts w:ascii="Calibri" w:hAnsi="Calibri" w:eastAsia="Microsoft YaHei"/>
                <w:b w:val="0"/>
                <w:sz w:val="17"/>
              </w:rPr>
              <w:t>TG</w:t>
            </w:r>
          </w:p>
        </w:tc>
        <w:tc>
          <w:tcPr>
            <w:tcW w:type="dxa" w:w="1020"/>
            <w:vAlign w:val="center"/>
          </w:tcPr>
          <w:p>
            <w:pPr>
              <w:spacing w:after="0" w:line="240" w:lineRule="auto"/>
            </w:pPr>
            <w:r/>
            <w:r>
              <w:rPr>
                <w:rFonts w:ascii="Calibri" w:hAnsi="Calibri" w:eastAsia="Microsoft YaHei"/>
                <w:b w:val="0"/>
                <w:sz w:val="17"/>
              </w:rPr>
              <w:t>333</w:t>
            </w:r>
          </w:p>
        </w:tc>
        <w:tc>
          <w:tcPr>
            <w:tcW w:type="dxa" w:w="1020"/>
            <w:vAlign w:val="center"/>
          </w:tcPr>
          <w:p>
            <w:pPr>
              <w:spacing w:after="0" w:line="240" w:lineRule="auto"/>
            </w:pPr>
            <w:r/>
            <w:r>
              <w:rPr>
                <w:rFonts w:ascii="Calibri" w:hAnsi="Calibri" w:eastAsia="Microsoft YaHei"/>
                <w:b w:val="0"/>
                <w:sz w:val="17"/>
              </w:rPr>
              <w:t>317</w:t>
            </w:r>
          </w:p>
        </w:tc>
        <w:tc>
          <w:tcPr>
            <w:tcW w:type="dxa" w:w="1644"/>
            <w:vAlign w:val="center"/>
          </w:tcPr>
          <w:p>
            <w:pPr>
              <w:spacing w:after="0" w:line="240" w:lineRule="auto"/>
            </w:pPr>
            <w:r/>
            <w:r>
              <w:rPr>
                <w:rFonts w:ascii="Calibri" w:hAnsi="Calibri" w:eastAsia="Microsoft YaHei"/>
                <w:b w:val="0"/>
                <w:sz w:val="17"/>
              </w:rPr>
              <w:t>15</w:t>
            </w:r>
          </w:p>
        </w:tc>
        <w:tc>
          <w:tcPr>
            <w:tcW w:type="dxa" w:w="1417"/>
            <w:vAlign w:val="center"/>
          </w:tcPr>
          <w:p>
            <w:pPr>
              <w:spacing w:after="0" w:line="240" w:lineRule="auto"/>
            </w:pPr>
            <w:r/>
            <w:r>
              <w:rPr>
                <w:rFonts w:ascii="Calibri" w:hAnsi="Calibri" w:eastAsia="Microsoft YaHei"/>
                <w:b w:val="0"/>
                <w:sz w:val="17"/>
              </w:rPr>
              <w:t>1</w:t>
            </w:r>
          </w:p>
        </w:tc>
        <w:tc>
          <w:tcPr>
            <w:tcW w:type="dxa" w:w="1417"/>
            <w:vAlign w:val="center"/>
          </w:tcPr>
          <w:p>
            <w:pPr>
              <w:spacing w:after="0" w:line="240" w:lineRule="auto"/>
            </w:pPr>
            <w:r/>
            <w:r>
              <w:rPr>
                <w:rFonts w:ascii="Calibri" w:hAnsi="Calibri" w:eastAsia="Microsoft YaHei"/>
                <w:b w:val="0"/>
                <w:sz w:val="17"/>
              </w:rPr>
              <w:t>950</w:t>
            </w:r>
          </w:p>
        </w:tc>
        <w:tc>
          <w:tcPr>
            <w:tcW w:type="dxa" w:w="1020"/>
            <w:vAlign w:val="center"/>
          </w:tcPr>
          <w:p>
            <w:pPr>
              <w:spacing w:after="0" w:line="240" w:lineRule="auto"/>
            </w:pPr>
            <w:r/>
            <w:r>
              <w:rPr>
                <w:rFonts w:ascii="Calibri" w:hAnsi="Calibri" w:eastAsia="Microsoft YaHei"/>
                <w:b w:val="0"/>
                <w:sz w:val="17"/>
              </w:rPr>
              <w:t>619</w:t>
            </w:r>
          </w:p>
        </w:tc>
      </w:tr>
      <w:tr>
        <w:trPr>
          <w:cantSplit/>
        </w:trPr>
        <w:tc>
          <w:tcPr>
            <w:tcW w:type="dxa" w:w="1134"/>
            <w:vAlign w:val="center"/>
          </w:tcPr>
          <w:p>
            <w:pPr>
              <w:spacing w:after="0" w:line="240" w:lineRule="auto"/>
            </w:pPr>
            <w:r/>
            <w:r>
              <w:rPr>
                <w:rFonts w:ascii="Calibri" w:hAnsi="Calibri" w:eastAsia="Microsoft YaHei"/>
                <w:b w:val="0"/>
                <w:sz w:val="17"/>
              </w:rPr>
              <w:t>合计</w:t>
            </w:r>
          </w:p>
        </w:tc>
        <w:tc>
          <w:tcPr>
            <w:tcW w:type="dxa" w:w="1020"/>
            <w:vAlign w:val="center"/>
          </w:tcPr>
          <w:p>
            <w:pPr>
              <w:spacing w:after="0" w:line="240" w:lineRule="auto"/>
            </w:pPr>
            <w:r/>
            <w:r>
              <w:rPr>
                <w:rFonts w:ascii="Calibri" w:hAnsi="Calibri" w:eastAsia="Microsoft YaHei"/>
                <w:b w:val="0"/>
                <w:sz w:val="17"/>
              </w:rPr>
              <w:t>1,977</w:t>
            </w:r>
          </w:p>
        </w:tc>
        <w:tc>
          <w:tcPr>
            <w:tcW w:type="dxa" w:w="1020"/>
            <w:vAlign w:val="center"/>
          </w:tcPr>
          <w:p>
            <w:pPr>
              <w:spacing w:after="0" w:line="240" w:lineRule="auto"/>
            </w:pPr>
            <w:r/>
            <w:r>
              <w:rPr>
                <w:rFonts w:ascii="Calibri" w:hAnsi="Calibri" w:eastAsia="Microsoft YaHei"/>
                <w:b w:val="0"/>
                <w:sz w:val="17"/>
              </w:rPr>
              <w:t>1,858</w:t>
            </w:r>
          </w:p>
        </w:tc>
        <w:tc>
          <w:tcPr>
            <w:tcW w:type="dxa" w:w="1644"/>
            <w:vAlign w:val="center"/>
          </w:tcPr>
          <w:p>
            <w:pPr>
              <w:spacing w:after="0" w:line="240" w:lineRule="auto"/>
            </w:pPr>
            <w:r/>
            <w:r>
              <w:rPr>
                <w:rFonts w:ascii="Calibri" w:hAnsi="Calibri" w:eastAsia="Microsoft YaHei"/>
                <w:b w:val="0"/>
                <w:sz w:val="17"/>
              </w:rPr>
              <w:t>113</w:t>
            </w:r>
          </w:p>
        </w:tc>
        <w:tc>
          <w:tcPr>
            <w:tcW w:type="dxa" w:w="1417"/>
            <w:vAlign w:val="center"/>
          </w:tcPr>
          <w:p>
            <w:pPr>
              <w:spacing w:after="0" w:line="240" w:lineRule="auto"/>
            </w:pPr>
            <w:r/>
            <w:r>
              <w:rPr>
                <w:rFonts w:ascii="Calibri" w:hAnsi="Calibri" w:eastAsia="Microsoft YaHei"/>
                <w:b w:val="0"/>
                <w:sz w:val="17"/>
              </w:rPr>
              <w:t>6</w:t>
            </w:r>
          </w:p>
        </w:tc>
        <w:tc>
          <w:tcPr>
            <w:tcW w:type="dxa" w:w="1417"/>
            <w:vAlign w:val="center"/>
          </w:tcPr>
          <w:p>
            <w:pPr>
              <w:spacing w:after="0" w:line="240" w:lineRule="auto"/>
            </w:pPr>
            <w:r/>
            <w:r>
              <w:rPr>
                <w:rFonts w:ascii="Calibri" w:hAnsi="Calibri" w:eastAsia="Microsoft YaHei"/>
                <w:b w:val="0"/>
                <w:sz w:val="17"/>
              </w:rPr>
              <w:t>4,333</w:t>
            </w:r>
          </w:p>
        </w:tc>
        <w:tc>
          <w:tcPr>
            <w:tcW w:type="dxa" w:w="1020"/>
            <w:vAlign w:val="center"/>
          </w:tcPr>
          <w:p>
            <w:pPr>
              <w:spacing w:after="0" w:line="240" w:lineRule="auto"/>
            </w:pPr>
            <w:r/>
            <w:r>
              <w:rPr>
                <w:rFonts w:ascii="Calibri" w:hAnsi="Calibri" w:eastAsia="Microsoft YaHei"/>
                <w:b w:val="0"/>
                <w:sz w:val="17"/>
              </w:rPr>
              <w:t>2,655</w:t>
            </w:r>
          </w:p>
        </w:tc>
      </w:tr>
    </w:tbl>
    <w:p/>
    <w:p>
      <w:pPr/>
      <w:r>
        <w:t>“extracted”表示至少保存了一条核心陈述；“no_extractable_claims”表示本轮没有从摘要中选出满足定义的具体核心陈述，不代表全文没有机制。6 篇缺摘要论文继续保留在文献登记表中。</w:t>
      </w:r>
    </w:p>
    <w:p>
      <w:pPr>
        <w:pStyle w:val="Heading2"/>
      </w:pPr>
      <w:r>
        <w:t>2.2 当前归一化状态</w:t>
      </w:r>
    </w:p>
    <w:tbl>
      <w:tblPr>
        <w:tblStyle w:val="TableGrid"/>
        <w:tblW w:type="auto" w:w="0"/>
        <w:jc w:val="center"/>
        <w:tblLayout w:type="autofit"/>
        <w:tblLook w:firstColumn="1" w:firstRow="1" w:lastColumn="0" w:lastRow="0" w:noHBand="0" w:noVBand="1" w:val="04A0"/>
      </w:tblPr>
      <w:tblGrid>
        <w:gridCol w:w="3194"/>
        <w:gridCol w:w="3194"/>
        <w:gridCol w:w="3194"/>
      </w:tblGrid>
      <w:tr>
        <w:trPr>
          <w:tblHeader w:val="true"/>
          <w:cantSplit/>
        </w:trPr>
        <w:tc>
          <w:tcPr>
            <w:tcW w:type="dxa" w:w="2494"/>
            <w:vAlign w:val="center"/>
            <w:shd w:fill="D9E1F2"/>
          </w:tcPr>
          <w:p>
            <w:pPr>
              <w:spacing w:after="0" w:line="240" w:lineRule="auto"/>
            </w:pPr>
            <w:r/>
            <w:r>
              <w:rPr>
                <w:rFonts w:ascii="Calibri" w:hAnsi="Calibri" w:eastAsia="Microsoft YaHei"/>
                <w:b/>
                <w:sz w:val="17"/>
              </w:rPr>
              <w:t>项目</w:t>
            </w:r>
          </w:p>
        </w:tc>
        <w:tc>
          <w:tcPr>
            <w:tcW w:type="dxa" w:w="1361"/>
            <w:vAlign w:val="center"/>
            <w:shd w:fill="D9E1F2"/>
          </w:tcPr>
          <w:p>
            <w:pPr>
              <w:spacing w:after="0" w:line="240" w:lineRule="auto"/>
            </w:pPr>
            <w:r/>
            <w:r>
              <w:rPr>
                <w:rFonts w:ascii="Calibri" w:hAnsi="Calibri" w:eastAsia="Microsoft YaHei"/>
                <w:b/>
                <w:sz w:val="17"/>
              </w:rPr>
              <w:t>当前值</w:t>
            </w:r>
          </w:p>
        </w:tc>
        <w:tc>
          <w:tcPr>
            <w:tcW w:type="dxa" w:w="4535"/>
            <w:vAlign w:val="center"/>
            <w:shd w:fill="D9E1F2"/>
          </w:tcPr>
          <w:p>
            <w:pPr>
              <w:spacing w:after="0" w:line="240" w:lineRule="auto"/>
            </w:pPr>
            <w:r/>
            <w:r>
              <w:rPr>
                <w:rFonts w:ascii="Calibri" w:hAnsi="Calibri" w:eastAsia="Microsoft YaHei"/>
                <w:b/>
                <w:sz w:val="17"/>
              </w:rPr>
              <w:t>解释</w:t>
            </w:r>
          </w:p>
        </w:tc>
      </w:tr>
      <w:tr>
        <w:trPr>
          <w:cantSplit/>
        </w:trPr>
        <w:tc>
          <w:tcPr>
            <w:tcW w:type="dxa" w:w="2494"/>
            <w:vAlign w:val="center"/>
          </w:tcPr>
          <w:p>
            <w:pPr>
              <w:spacing w:after="0" w:line="240" w:lineRule="auto"/>
            </w:pPr>
            <w:r/>
            <w:r>
              <w:rPr>
                <w:rFonts w:ascii="Calibri" w:hAnsi="Calibri" w:eastAsia="Microsoft YaHei"/>
                <w:b w:val="0"/>
                <w:sz w:val="17"/>
              </w:rPr>
              <w:t>原始节点 mention</w:t>
            </w:r>
          </w:p>
        </w:tc>
        <w:tc>
          <w:tcPr>
            <w:tcW w:type="dxa" w:w="1361"/>
            <w:vAlign w:val="center"/>
          </w:tcPr>
          <w:p>
            <w:pPr>
              <w:spacing w:after="0" w:line="240" w:lineRule="auto"/>
            </w:pPr>
            <w:r/>
            <w:r>
              <w:rPr>
                <w:rFonts w:ascii="Calibri" w:hAnsi="Calibri" w:eastAsia="Microsoft YaHei"/>
                <w:b w:val="0"/>
                <w:sz w:val="17"/>
              </w:rPr>
              <w:t>4,646</w:t>
            </w:r>
          </w:p>
        </w:tc>
        <w:tc>
          <w:tcPr>
            <w:tcW w:type="dxa" w:w="4535"/>
            <w:vAlign w:val="center"/>
          </w:tcPr>
          <w:p>
            <w:pPr>
              <w:spacing w:after="0" w:line="240" w:lineRule="auto"/>
            </w:pPr>
            <w:r/>
            <w:r>
              <w:rPr>
                <w:rFonts w:ascii="Calibri" w:hAnsi="Calibri" w:eastAsia="Microsoft YaHei"/>
                <w:b w:val="0"/>
                <w:sz w:val="17"/>
              </w:rPr>
              <w:t>全部有规范概念指派与原文证据定位</w:t>
            </w:r>
          </w:p>
        </w:tc>
      </w:tr>
      <w:tr>
        <w:trPr>
          <w:cantSplit/>
        </w:trPr>
        <w:tc>
          <w:tcPr>
            <w:tcW w:type="dxa" w:w="2494"/>
            <w:vAlign w:val="center"/>
          </w:tcPr>
          <w:p>
            <w:pPr>
              <w:spacing w:after="0" w:line="240" w:lineRule="auto"/>
            </w:pPr>
            <w:r/>
            <w:r>
              <w:rPr>
                <w:rFonts w:ascii="Calibri" w:hAnsi="Calibri" w:eastAsia="Microsoft YaHei"/>
                <w:b w:val="0"/>
                <w:sz w:val="17"/>
              </w:rPr>
              <w:t>暂定 canonical concepts</w:t>
            </w:r>
          </w:p>
        </w:tc>
        <w:tc>
          <w:tcPr>
            <w:tcW w:type="dxa" w:w="1361"/>
            <w:vAlign w:val="center"/>
          </w:tcPr>
          <w:p>
            <w:pPr>
              <w:spacing w:after="0" w:line="240" w:lineRule="auto"/>
            </w:pPr>
            <w:r/>
            <w:r>
              <w:rPr>
                <w:rFonts w:ascii="Calibri" w:hAnsi="Calibri" w:eastAsia="Microsoft YaHei"/>
                <w:b w:val="0"/>
                <w:sz w:val="17"/>
              </w:rPr>
              <w:t>4,333</w:t>
            </w:r>
          </w:p>
        </w:tc>
        <w:tc>
          <w:tcPr>
            <w:tcW w:type="dxa" w:w="4535"/>
            <w:vAlign w:val="center"/>
          </w:tcPr>
          <w:p>
            <w:pPr>
              <w:spacing w:after="0" w:line="240" w:lineRule="auto"/>
            </w:pPr>
            <w:r/>
            <w:r>
              <w:rPr>
                <w:rFonts w:ascii="Calibri" w:hAnsi="Calibri" w:eastAsia="Microsoft YaHei"/>
                <w:b w:val="0"/>
                <w:sz w:val="17"/>
              </w:rPr>
              <w:t>保守归一化结果，不等于最终独立机制数</w:t>
            </w:r>
          </w:p>
        </w:tc>
      </w:tr>
      <w:tr>
        <w:trPr>
          <w:cantSplit/>
        </w:trPr>
        <w:tc>
          <w:tcPr>
            <w:tcW w:type="dxa" w:w="2494"/>
            <w:vAlign w:val="center"/>
          </w:tcPr>
          <w:p>
            <w:pPr>
              <w:spacing w:after="0" w:line="240" w:lineRule="auto"/>
            </w:pPr>
            <w:r/>
            <w:r>
              <w:rPr>
                <w:rFonts w:ascii="Calibri" w:hAnsi="Calibri" w:eastAsia="Microsoft YaHei"/>
                <w:b w:val="0"/>
                <w:sz w:val="17"/>
              </w:rPr>
              <w:t>retain_pending_semantic_review</w:t>
            </w:r>
          </w:p>
        </w:tc>
        <w:tc>
          <w:tcPr>
            <w:tcW w:type="dxa" w:w="1361"/>
            <w:vAlign w:val="center"/>
          </w:tcPr>
          <w:p>
            <w:pPr>
              <w:spacing w:after="0" w:line="240" w:lineRule="auto"/>
            </w:pPr>
            <w:r/>
            <w:r>
              <w:rPr>
                <w:rFonts w:ascii="Calibri" w:hAnsi="Calibri" w:eastAsia="Microsoft YaHei"/>
                <w:b w:val="0"/>
                <w:sz w:val="17"/>
              </w:rPr>
              <w:t>4,303</w:t>
            </w:r>
          </w:p>
        </w:tc>
        <w:tc>
          <w:tcPr>
            <w:tcW w:type="dxa" w:w="4535"/>
            <w:vAlign w:val="center"/>
          </w:tcPr>
          <w:p>
            <w:pPr>
              <w:spacing w:after="0" w:line="240" w:lineRule="auto"/>
            </w:pPr>
            <w:r/>
            <w:r>
              <w:rPr>
                <w:rFonts w:ascii="Calibri" w:hAnsi="Calibri" w:eastAsia="Microsoft YaHei"/>
                <w:b w:val="0"/>
                <w:sz w:val="17"/>
              </w:rPr>
              <w:t>大部分概念尚未做全量语义同义审查</w:t>
            </w:r>
          </w:p>
        </w:tc>
      </w:tr>
      <w:tr>
        <w:trPr>
          <w:cantSplit/>
        </w:trPr>
        <w:tc>
          <w:tcPr>
            <w:tcW w:type="dxa" w:w="2494"/>
            <w:vAlign w:val="center"/>
          </w:tcPr>
          <w:p>
            <w:pPr>
              <w:spacing w:after="0" w:line="240" w:lineRule="auto"/>
            </w:pPr>
            <w:r/>
            <w:r>
              <w:rPr>
                <w:rFonts w:ascii="Calibri" w:hAnsi="Calibri" w:eastAsia="Microsoft YaHei"/>
                <w:b w:val="0"/>
                <w:sz w:val="17"/>
              </w:rPr>
              <w:t>explicit_provisional_semantic</w:t>
            </w:r>
          </w:p>
        </w:tc>
        <w:tc>
          <w:tcPr>
            <w:tcW w:type="dxa" w:w="1361"/>
            <w:vAlign w:val="center"/>
          </w:tcPr>
          <w:p>
            <w:pPr>
              <w:spacing w:after="0" w:line="240" w:lineRule="auto"/>
            </w:pPr>
            <w:r/>
            <w:r>
              <w:rPr>
                <w:rFonts w:ascii="Calibri" w:hAnsi="Calibri" w:eastAsia="Microsoft YaHei"/>
                <w:b w:val="0"/>
                <w:sz w:val="17"/>
              </w:rPr>
              <w:t>35</w:t>
            </w:r>
          </w:p>
        </w:tc>
        <w:tc>
          <w:tcPr>
            <w:tcW w:type="dxa" w:w="4535"/>
            <w:vAlign w:val="center"/>
          </w:tcPr>
          <w:p>
            <w:pPr>
              <w:spacing w:after="0" w:line="240" w:lineRule="auto"/>
            </w:pPr>
            <w:r/>
            <w:r>
              <w:rPr>
                <w:rFonts w:ascii="Calibri" w:hAnsi="Calibri" w:eastAsia="Microsoft YaHei"/>
                <w:b w:val="0"/>
                <w:sz w:val="17"/>
              </w:rPr>
              <w:t>已有暂定语义判断，需人工复核</w:t>
            </w:r>
          </w:p>
        </w:tc>
      </w:tr>
      <w:tr>
        <w:trPr>
          <w:cantSplit/>
        </w:trPr>
        <w:tc>
          <w:tcPr>
            <w:tcW w:type="dxa" w:w="2494"/>
            <w:vAlign w:val="center"/>
          </w:tcPr>
          <w:p>
            <w:pPr>
              <w:spacing w:after="0" w:line="240" w:lineRule="auto"/>
            </w:pPr>
            <w:r/>
            <w:r>
              <w:rPr>
                <w:rFonts w:ascii="Calibri" w:hAnsi="Calibri" w:eastAsia="Microsoft YaHei"/>
                <w:b w:val="0"/>
                <w:sz w:val="17"/>
              </w:rPr>
              <w:t>reviewed_terminology_alias</w:t>
            </w:r>
          </w:p>
        </w:tc>
        <w:tc>
          <w:tcPr>
            <w:tcW w:type="dxa" w:w="1361"/>
            <w:vAlign w:val="center"/>
          </w:tcPr>
          <w:p>
            <w:pPr>
              <w:spacing w:after="0" w:line="240" w:lineRule="auto"/>
            </w:pPr>
            <w:r/>
            <w:r>
              <w:rPr>
                <w:rFonts w:ascii="Calibri" w:hAnsi="Calibri" w:eastAsia="Microsoft YaHei"/>
                <w:b w:val="0"/>
                <w:sz w:val="17"/>
              </w:rPr>
              <w:t>308</w:t>
            </w:r>
          </w:p>
        </w:tc>
        <w:tc>
          <w:tcPr>
            <w:tcW w:type="dxa" w:w="4535"/>
            <w:vAlign w:val="center"/>
          </w:tcPr>
          <w:p>
            <w:pPr>
              <w:spacing w:after="0" w:line="240" w:lineRule="auto"/>
            </w:pPr>
            <w:r/>
            <w:r>
              <w:rPr>
                <w:rFonts w:ascii="Calibri" w:hAnsi="Calibri" w:eastAsia="Microsoft YaHei"/>
                <w:b w:val="0"/>
                <w:sz w:val="17"/>
              </w:rPr>
              <w:t>显式术语别名/词形规则合并，仍应在最终折叠前审核</w:t>
            </w:r>
          </w:p>
        </w:tc>
      </w:tr>
      <w:tr>
        <w:trPr>
          <w:cantSplit/>
        </w:trPr>
        <w:tc>
          <w:tcPr>
            <w:tcW w:type="dxa" w:w="2494"/>
            <w:vAlign w:val="center"/>
          </w:tcPr>
          <w:p>
            <w:pPr>
              <w:spacing w:after="0" w:line="240" w:lineRule="auto"/>
            </w:pPr>
            <w:r/>
            <w:r>
              <w:rPr>
                <w:rFonts w:ascii="Calibri" w:hAnsi="Calibri" w:eastAsia="Microsoft YaHei"/>
                <w:b w:val="0"/>
                <w:sz w:val="17"/>
              </w:rPr>
              <w:t>literal_repeat_groups</w:t>
            </w:r>
          </w:p>
        </w:tc>
        <w:tc>
          <w:tcPr>
            <w:tcW w:type="dxa" w:w="1361"/>
            <w:vAlign w:val="center"/>
          </w:tcPr>
          <w:p>
            <w:pPr>
              <w:spacing w:after="0" w:line="240" w:lineRule="auto"/>
            </w:pPr>
            <w:r/>
            <w:r>
              <w:rPr>
                <w:rFonts w:ascii="Calibri" w:hAnsi="Calibri" w:eastAsia="Microsoft YaHei"/>
                <w:b w:val="0"/>
                <w:sz w:val="17"/>
              </w:rPr>
              <w:t>203</w:t>
            </w:r>
          </w:p>
        </w:tc>
        <w:tc>
          <w:tcPr>
            <w:tcW w:type="dxa" w:w="4535"/>
            <w:vAlign w:val="center"/>
          </w:tcPr>
          <w:p>
            <w:pPr>
              <w:spacing w:after="0" w:line="240" w:lineRule="auto"/>
            </w:pPr>
            <w:r/>
            <w:r>
              <w:rPr>
                <w:rFonts w:ascii="Calibri" w:hAnsi="Calibri" w:eastAsia="Microsoft YaHei"/>
                <w:b w:val="0"/>
                <w:sz w:val="17"/>
              </w:rPr>
              <w:t>仅是字面重复候选，不自动视为语义等价</w:t>
            </w:r>
          </w:p>
        </w:tc>
      </w:tr>
    </w:tbl>
    <w:p/>
    <w:p>
      <w:pPr/>
      <w:r>
        <w:t>当前归一化应称为 conservative terminology pass，而不是“全量语义同义词归一化完成”。后续所有统计都必须标记所用 normalization 版本。</w:t>
      </w:r>
    </w:p>
    <w:p>
      <w:pPr>
        <w:pStyle w:val="Heading2"/>
      </w:pPr>
      <w:r>
        <w:t>2.3 当前文件与复现入口</w:t>
      </w:r>
    </w:p>
    <w:tbl>
      <w:tblPr>
        <w:tblStyle w:val="TableGrid"/>
        <w:tblW w:type="auto" w:w="0"/>
        <w:jc w:val="center"/>
        <w:tblLayout w:type="autofit"/>
        <w:tblLook w:firstColumn="1" w:firstRow="1" w:lastColumn="0" w:lastRow="0" w:noHBand="0" w:noVBand="1" w:val="04A0"/>
      </w:tblPr>
      <w:tblGrid>
        <w:gridCol w:w="4791"/>
        <w:gridCol w:w="4791"/>
      </w:tblGrid>
      <w:tr>
        <w:trPr>
          <w:tblHeader w:val="true"/>
          <w:cantSplit/>
        </w:trPr>
        <w:tc>
          <w:tcPr>
            <w:tcW w:type="dxa" w:w="3969"/>
            <w:vAlign w:val="center"/>
            <w:shd w:fill="D9E1F2"/>
          </w:tcPr>
          <w:p>
            <w:pPr>
              <w:spacing w:after="0" w:line="240" w:lineRule="auto"/>
            </w:pPr>
            <w:r/>
            <w:r>
              <w:rPr>
                <w:rFonts w:ascii="Calibri" w:hAnsi="Calibri" w:eastAsia="Microsoft YaHei"/>
                <w:b/>
                <w:sz w:val="17"/>
              </w:rPr>
              <w:t>文件/脚本</w:t>
            </w:r>
          </w:p>
        </w:tc>
        <w:tc>
          <w:tcPr>
            <w:tcW w:type="dxa" w:w="4535"/>
            <w:vAlign w:val="center"/>
            <w:shd w:fill="D9E1F2"/>
          </w:tcPr>
          <w:p>
            <w:pPr>
              <w:spacing w:after="0" w:line="240" w:lineRule="auto"/>
            </w:pPr>
            <w:r/>
            <w:r>
              <w:rPr>
                <w:rFonts w:ascii="Calibri" w:hAnsi="Calibri" w:eastAsia="Microsoft YaHei"/>
                <w:b/>
                <w:sz w:val="17"/>
              </w:rPr>
              <w:t>用途</w:t>
            </w:r>
          </w:p>
        </w:tc>
      </w:tr>
      <w:tr>
        <w:trPr>
          <w:cantSplit/>
        </w:trPr>
        <w:tc>
          <w:tcPr>
            <w:tcW w:type="dxa" w:w="3969"/>
            <w:vAlign w:val="center"/>
          </w:tcPr>
          <w:p>
            <w:pPr>
              <w:spacing w:after="0" w:line="240" w:lineRule="auto"/>
            </w:pPr>
            <w:r/>
            <w:r>
              <w:rPr>
                <w:rFonts w:ascii="Calibri" w:hAnsi="Calibri" w:eastAsia="Microsoft YaHei"/>
                <w:b w:val="0"/>
                <w:sz w:val="17"/>
              </w:rPr>
              <w:t>当前会话抽取结果.txt</w:t>
            </w:r>
          </w:p>
        </w:tc>
        <w:tc>
          <w:tcPr>
            <w:tcW w:type="dxa" w:w="4535"/>
            <w:vAlign w:val="center"/>
          </w:tcPr>
          <w:p>
            <w:pPr>
              <w:spacing w:after="0" w:line="240" w:lineRule="auto"/>
            </w:pPr>
            <w:r/>
            <w:r>
              <w:rPr>
                <w:rFonts w:ascii="Calibri" w:hAnsi="Calibri" w:eastAsia="Microsoft YaHei"/>
                <w:b w:val="0"/>
                <w:sz w:val="17"/>
              </w:rPr>
              <w:t>逐篇原文证据、节点、关系及限制说明</w:t>
            </w:r>
          </w:p>
        </w:tc>
      </w:tr>
      <w:tr>
        <w:trPr>
          <w:cantSplit/>
        </w:trPr>
        <w:tc>
          <w:tcPr>
            <w:tcW w:type="dxa" w:w="3969"/>
            <w:vAlign w:val="center"/>
          </w:tcPr>
          <w:p>
            <w:pPr>
              <w:spacing w:after="0" w:line="240" w:lineRule="auto"/>
            </w:pPr>
            <w:r/>
            <w:r>
              <w:rPr>
                <w:rFonts w:ascii="Calibri" w:hAnsi="Calibri" w:eastAsia="Microsoft YaHei"/>
                <w:b w:val="0"/>
                <w:sz w:val="17"/>
              </w:rPr>
              <w:t>paper_coverage.csv</w:t>
            </w:r>
          </w:p>
        </w:tc>
        <w:tc>
          <w:tcPr>
            <w:tcW w:type="dxa" w:w="4535"/>
            <w:vAlign w:val="center"/>
          </w:tcPr>
          <w:p>
            <w:pPr>
              <w:spacing w:after="0" w:line="240" w:lineRule="auto"/>
            </w:pPr>
            <w:r/>
            <w:r>
              <w:rPr>
                <w:rFonts w:ascii="Calibri" w:hAnsi="Calibri" w:eastAsia="Microsoft YaHei"/>
                <w:b w:val="0"/>
                <w:sz w:val="17"/>
              </w:rPr>
              <w:t>1,977 篇论文状态清单</w:t>
            </w:r>
          </w:p>
        </w:tc>
      </w:tr>
      <w:tr>
        <w:trPr>
          <w:cantSplit/>
        </w:trPr>
        <w:tc>
          <w:tcPr>
            <w:tcW w:type="dxa" w:w="3969"/>
            <w:vAlign w:val="center"/>
          </w:tcPr>
          <w:p>
            <w:pPr>
              <w:spacing w:after="0" w:line="240" w:lineRule="auto"/>
            </w:pPr>
            <w:r/>
            <w:r>
              <w:rPr>
                <w:rFonts w:ascii="Calibri" w:hAnsi="Calibri" w:eastAsia="Microsoft YaHei"/>
                <w:b w:val="0"/>
                <w:sz w:val="17"/>
              </w:rPr>
              <w:t>node_evidence.csv / relation_evidence.csv</w:t>
            </w:r>
          </w:p>
        </w:tc>
        <w:tc>
          <w:tcPr>
            <w:tcW w:type="dxa" w:w="4535"/>
            <w:vAlign w:val="center"/>
          </w:tcPr>
          <w:p>
            <w:pPr>
              <w:spacing w:after="0" w:line="240" w:lineRule="auto"/>
            </w:pPr>
            <w:r/>
            <w:r>
              <w:rPr>
                <w:rFonts w:ascii="Calibri" w:hAnsi="Calibri" w:eastAsia="Microsoft YaHei"/>
                <w:b w:val="0"/>
                <w:sz w:val="17"/>
              </w:rPr>
              <w:t>节点、关系、原文位置和规范概念映射</w:t>
            </w:r>
          </w:p>
        </w:tc>
      </w:tr>
      <w:tr>
        <w:trPr>
          <w:cantSplit/>
        </w:trPr>
        <w:tc>
          <w:tcPr>
            <w:tcW w:type="dxa" w:w="3969"/>
            <w:vAlign w:val="center"/>
          </w:tcPr>
          <w:p>
            <w:pPr>
              <w:spacing w:after="0" w:line="240" w:lineRule="auto"/>
            </w:pPr>
            <w:r/>
            <w:r>
              <w:rPr>
                <w:rFonts w:ascii="Calibri" w:hAnsi="Calibri" w:eastAsia="Microsoft YaHei"/>
                <w:b w:val="0"/>
                <w:sz w:val="17"/>
              </w:rPr>
              <w:t>canonical_concepts.csv / all_normalization_assignments.csv</w:t>
            </w:r>
          </w:p>
        </w:tc>
        <w:tc>
          <w:tcPr>
            <w:tcW w:type="dxa" w:w="4535"/>
            <w:vAlign w:val="center"/>
          </w:tcPr>
          <w:p>
            <w:pPr>
              <w:spacing w:after="0" w:line="240" w:lineRule="auto"/>
            </w:pPr>
            <w:r/>
            <w:r>
              <w:rPr>
                <w:rFonts w:ascii="Calibri" w:hAnsi="Calibri" w:eastAsia="Microsoft YaHei"/>
                <w:b w:val="0"/>
                <w:sz w:val="17"/>
              </w:rPr>
              <w:t>暂定概念表与逐节点归一化判定</w:t>
            </w:r>
          </w:p>
        </w:tc>
      </w:tr>
      <w:tr>
        <w:trPr>
          <w:cantSplit/>
        </w:trPr>
        <w:tc>
          <w:tcPr>
            <w:tcW w:type="dxa" w:w="3969"/>
            <w:vAlign w:val="center"/>
          </w:tcPr>
          <w:p>
            <w:pPr>
              <w:spacing w:after="0" w:line="240" w:lineRule="auto"/>
            </w:pPr>
            <w:r/>
            <w:r>
              <w:rPr>
                <w:rFonts w:ascii="Calibri" w:hAnsi="Calibri" w:eastAsia="Microsoft YaHei"/>
                <w:b w:val="0"/>
                <w:sz w:val="17"/>
              </w:rPr>
              <w:t>literal_repeat_candidates.csv</w:t>
            </w:r>
          </w:p>
        </w:tc>
        <w:tc>
          <w:tcPr>
            <w:tcW w:type="dxa" w:w="4535"/>
            <w:vAlign w:val="center"/>
          </w:tcPr>
          <w:p>
            <w:pPr>
              <w:spacing w:after="0" w:line="240" w:lineRule="auto"/>
            </w:pPr>
            <w:r/>
            <w:r>
              <w:rPr>
                <w:rFonts w:ascii="Calibri" w:hAnsi="Calibri" w:eastAsia="Microsoft YaHei"/>
                <w:b w:val="0"/>
                <w:sz w:val="17"/>
              </w:rPr>
              <w:t>未认定为语义等价的字面重复候选</w:t>
            </w:r>
          </w:p>
        </w:tc>
      </w:tr>
      <w:tr>
        <w:trPr>
          <w:cantSplit/>
        </w:trPr>
        <w:tc>
          <w:tcPr>
            <w:tcW w:type="dxa" w:w="3969"/>
            <w:vAlign w:val="center"/>
          </w:tcPr>
          <w:p>
            <w:pPr>
              <w:spacing w:after="0" w:line="240" w:lineRule="auto"/>
            </w:pPr>
            <w:r/>
            <w:r>
              <w:rPr>
                <w:rFonts w:ascii="Calibri" w:hAnsi="Calibri" w:eastAsia="Microsoft YaHei"/>
                <w:b w:val="0"/>
                <w:sz w:val="17"/>
              </w:rPr>
              <w:t>iTE.graph.terminology_v1.json / TG.graph.terminology_v1.json</w:t>
            </w:r>
          </w:p>
        </w:tc>
        <w:tc>
          <w:tcPr>
            <w:tcW w:type="dxa" w:w="4535"/>
            <w:vAlign w:val="center"/>
          </w:tcPr>
          <w:p>
            <w:pPr>
              <w:spacing w:after="0" w:line="240" w:lineRule="auto"/>
            </w:pPr>
            <w:r/>
            <w:r>
              <w:rPr>
                <w:rFonts w:ascii="Calibri" w:hAnsi="Calibri" w:eastAsia="Microsoft YaHei"/>
                <w:b w:val="0"/>
                <w:sz w:val="17"/>
              </w:rPr>
              <w:t>两域暂定图谱</w:t>
            </w:r>
          </w:p>
        </w:tc>
      </w:tr>
      <w:tr>
        <w:trPr>
          <w:cantSplit/>
        </w:trPr>
        <w:tc>
          <w:tcPr>
            <w:tcW w:type="dxa" w:w="3969"/>
            <w:vAlign w:val="center"/>
          </w:tcPr>
          <w:p>
            <w:pPr>
              <w:spacing w:after="0" w:line="240" w:lineRule="auto"/>
            </w:pPr>
            <w:r/>
            <w:r>
              <w:rPr>
                <w:rFonts w:ascii="Calibri" w:hAnsi="Calibri" w:eastAsia="Microsoft YaHei"/>
                <w:b w:val="0"/>
                <w:sz w:val="17"/>
              </w:rPr>
              <w:t>final_validation.json / delivery_manifest.json</w:t>
            </w:r>
          </w:p>
        </w:tc>
        <w:tc>
          <w:tcPr>
            <w:tcW w:type="dxa" w:w="4535"/>
            <w:vAlign w:val="center"/>
          </w:tcPr>
          <w:p>
            <w:pPr>
              <w:spacing w:after="0" w:line="240" w:lineRule="auto"/>
            </w:pPr>
            <w:r/>
            <w:r>
              <w:rPr>
                <w:rFonts w:ascii="Calibri" w:hAnsi="Calibri" w:eastAsia="Microsoft YaHei"/>
                <w:b w:val="0"/>
                <w:sz w:val="17"/>
              </w:rPr>
              <w:t>结构校验、版本与文件哈希</w:t>
            </w:r>
          </w:p>
        </w:tc>
      </w:tr>
      <w:tr>
        <w:trPr>
          <w:cantSplit/>
        </w:trPr>
        <w:tc>
          <w:tcPr>
            <w:tcW w:type="dxa" w:w="3969"/>
            <w:vAlign w:val="center"/>
          </w:tcPr>
          <w:p>
            <w:pPr>
              <w:spacing w:after="0" w:line="240" w:lineRule="auto"/>
            </w:pPr>
            <w:r/>
            <w:r>
              <w:rPr>
                <w:rFonts w:ascii="Calibri" w:hAnsi="Calibri" w:eastAsia="Microsoft YaHei"/>
                <w:b w:val="0"/>
                <w:sz w:val="17"/>
              </w:rPr>
              <w:t>rebuild.py → normalize.py → export_normalized.py → finalize.py</w:t>
            </w:r>
          </w:p>
        </w:tc>
        <w:tc>
          <w:tcPr>
            <w:tcW w:type="dxa" w:w="4535"/>
            <w:vAlign w:val="center"/>
          </w:tcPr>
          <w:p>
            <w:pPr>
              <w:spacing w:after="0" w:line="240" w:lineRule="auto"/>
            </w:pPr>
            <w:r/>
            <w:r>
              <w:rPr>
                <w:rFonts w:ascii="Calibri" w:hAnsi="Calibri" w:eastAsia="Microsoft YaHei"/>
                <w:b w:val="0"/>
                <w:sz w:val="17"/>
              </w:rPr>
              <w:t>从已保存模型注释重建当前交付；不重新调用模型</w:t>
            </w:r>
          </w:p>
        </w:tc>
      </w:tr>
    </w:tbl>
    <w:p/>
    <w:p>
      <w:pPr/>
      <w:r>
        <w:t>full_v1 中旧 pending 文件视为历史快照，不作为当前进度依据。当前版本冻结后，后续 schema 与 normalization 修改均生成新版本，不覆盖 Stage 1 原始证据。</w:t>
      </w:r>
    </w:p>
    <w:p>
      <w:pPr>
        <w:pStyle w:val="Heading1"/>
      </w:pPr>
      <w:r>
        <w:t>3 Stage 2 的数据模型：证据层、概念层与分析层分离</w:t>
      </w:r>
    </w:p>
    <w:p>
      <w:pPr/>
      <w:r>
        <w:t>Stage 2 不重新让模型“补齐”五层机制链，而是在已有证据上增加可分析的语义属性。所有新增字段都必须能够回溯到原始 mention；任何规范化都不得改写摘要没有支持的物理内容。</w:t>
      </w:r>
    </w:p>
    <w:p>
      <w:pPr>
        <w:pStyle w:val="Heading2"/>
      </w:pPr>
      <w:r>
        <w:t>3.1 证据层（冻结，不回写）</w:t>
      </w:r>
    </w:p>
    <w:tbl>
      <w:tblPr>
        <w:tblStyle w:val="TableGrid"/>
        <w:tblW w:type="auto" w:w="0"/>
        <w:jc w:val="center"/>
        <w:tblLayout w:type="autofit"/>
        <w:tblLook w:firstColumn="1" w:firstRow="1" w:lastColumn="0" w:lastRow="0" w:noHBand="0" w:noVBand="1" w:val="04A0"/>
      </w:tblPr>
      <w:tblGrid>
        <w:gridCol w:w="4791"/>
        <w:gridCol w:w="4791"/>
      </w:tblGrid>
      <w:tr>
        <w:trPr>
          <w:tblHeader w:val="true"/>
          <w:cantSplit/>
        </w:trPr>
        <w:tc>
          <w:tcPr>
            <w:tcW w:type="dxa" w:w="2268"/>
            <w:vAlign w:val="center"/>
            <w:shd w:fill="D9E1F2"/>
          </w:tcPr>
          <w:p>
            <w:pPr>
              <w:spacing w:after="0" w:line="240" w:lineRule="auto"/>
            </w:pPr>
            <w:r/>
            <w:r>
              <w:rPr>
                <w:rFonts w:ascii="Calibri" w:hAnsi="Calibri" w:eastAsia="Microsoft YaHei"/>
                <w:b/>
                <w:sz w:val="17"/>
              </w:rPr>
              <w:t>字段组</w:t>
            </w:r>
          </w:p>
        </w:tc>
        <w:tc>
          <w:tcPr>
            <w:tcW w:type="dxa" w:w="6236"/>
            <w:vAlign w:val="center"/>
            <w:shd w:fill="D9E1F2"/>
          </w:tcPr>
          <w:p>
            <w:pPr>
              <w:spacing w:after="0" w:line="240" w:lineRule="auto"/>
            </w:pPr>
            <w:r/>
            <w:r>
              <w:rPr>
                <w:rFonts w:ascii="Calibri" w:hAnsi="Calibri" w:eastAsia="Microsoft YaHei"/>
                <w:b/>
                <w:sz w:val="17"/>
              </w:rPr>
              <w:t>最低要求</w:t>
            </w:r>
          </w:p>
        </w:tc>
      </w:tr>
      <w:tr>
        <w:trPr>
          <w:cantSplit/>
        </w:trPr>
        <w:tc>
          <w:tcPr>
            <w:tcW w:type="dxa" w:w="2268"/>
            <w:vAlign w:val="center"/>
          </w:tcPr>
          <w:p>
            <w:pPr>
              <w:spacing w:after="0" w:line="240" w:lineRule="auto"/>
            </w:pPr>
            <w:r/>
            <w:r>
              <w:rPr>
                <w:rFonts w:ascii="Calibri" w:hAnsi="Calibri" w:eastAsia="Microsoft YaHei"/>
                <w:b w:val="0"/>
                <w:sz w:val="17"/>
              </w:rPr>
              <w:t>文献与版本</w:t>
            </w:r>
          </w:p>
        </w:tc>
        <w:tc>
          <w:tcPr>
            <w:tcW w:type="dxa" w:w="6236"/>
            <w:vAlign w:val="center"/>
          </w:tcPr>
          <w:p>
            <w:pPr>
              <w:spacing w:after="0" w:line="240" w:lineRule="auto"/>
            </w:pPr>
            <w:r/>
            <w:r>
              <w:rPr>
                <w:rFonts w:ascii="Calibri" w:hAnsi="Calibri" w:eastAsia="Microsoft YaHei"/>
                <w:b w:val="0"/>
                <w:sz w:val="17"/>
              </w:rPr>
              <w:t>paper_id、domain、input_hash、extraction_run_id、schema_version</w:t>
            </w:r>
          </w:p>
        </w:tc>
      </w:tr>
      <w:tr>
        <w:trPr>
          <w:cantSplit/>
        </w:trPr>
        <w:tc>
          <w:tcPr>
            <w:tcW w:type="dxa" w:w="2268"/>
            <w:vAlign w:val="center"/>
          </w:tcPr>
          <w:p>
            <w:pPr>
              <w:spacing w:after="0" w:line="240" w:lineRule="auto"/>
            </w:pPr>
            <w:r/>
            <w:r>
              <w:rPr>
                <w:rFonts w:ascii="Calibri" w:hAnsi="Calibri" w:eastAsia="Microsoft YaHei"/>
                <w:b w:val="0"/>
                <w:sz w:val="17"/>
              </w:rPr>
              <w:t>原始节点</w:t>
            </w:r>
          </w:p>
        </w:tc>
        <w:tc>
          <w:tcPr>
            <w:tcW w:type="dxa" w:w="6236"/>
            <w:vAlign w:val="center"/>
          </w:tcPr>
          <w:p>
            <w:pPr>
              <w:spacing w:after="0" w:line="240" w:lineRule="auto"/>
            </w:pPr>
            <w:r/>
            <w:r>
              <w:rPr>
                <w:rFonts w:ascii="Calibri" w:hAnsi="Calibri" w:eastAsia="Microsoft YaHei"/>
                <w:b w:val="0"/>
                <w:sz w:val="17"/>
              </w:rPr>
              <w:t>raw_phrase、legacy_role、quote、sentence_id、start_char、end_char</w:t>
            </w:r>
          </w:p>
        </w:tc>
      </w:tr>
      <w:tr>
        <w:trPr>
          <w:cantSplit/>
        </w:trPr>
        <w:tc>
          <w:tcPr>
            <w:tcW w:type="dxa" w:w="2268"/>
            <w:vAlign w:val="center"/>
          </w:tcPr>
          <w:p>
            <w:pPr>
              <w:spacing w:after="0" w:line="240" w:lineRule="auto"/>
            </w:pPr>
            <w:r/>
            <w:r>
              <w:rPr>
                <w:rFonts w:ascii="Calibri" w:hAnsi="Calibri" w:eastAsia="Microsoft YaHei"/>
                <w:b w:val="0"/>
                <w:sz w:val="17"/>
              </w:rPr>
              <w:t>原始关系</w:t>
            </w:r>
          </w:p>
        </w:tc>
        <w:tc>
          <w:tcPr>
            <w:tcW w:type="dxa" w:w="6236"/>
            <w:vAlign w:val="center"/>
          </w:tcPr>
          <w:p>
            <w:pPr>
              <w:spacing w:after="0" w:line="240" w:lineRule="auto"/>
            </w:pPr>
            <w:r/>
            <w:r>
              <w:rPr>
                <w:rFonts w:ascii="Calibri" w:hAnsi="Calibri" w:eastAsia="Microsoft YaHei"/>
                <w:b w:val="0"/>
                <w:sz w:val="17"/>
              </w:rPr>
              <w:t>subject_mention_id、raw_predicate、object_mention_id、direction</w:t>
            </w:r>
          </w:p>
        </w:tc>
      </w:tr>
      <w:tr>
        <w:trPr>
          <w:cantSplit/>
        </w:trPr>
        <w:tc>
          <w:tcPr>
            <w:tcW w:type="dxa" w:w="2268"/>
            <w:vAlign w:val="center"/>
          </w:tcPr>
          <w:p>
            <w:pPr>
              <w:spacing w:after="0" w:line="240" w:lineRule="auto"/>
            </w:pPr>
            <w:r/>
            <w:r>
              <w:rPr>
                <w:rFonts w:ascii="Calibri" w:hAnsi="Calibri" w:eastAsia="Microsoft YaHei"/>
                <w:b w:val="0"/>
                <w:sz w:val="17"/>
              </w:rPr>
              <w:t>断言状态</w:t>
            </w:r>
          </w:p>
        </w:tc>
        <w:tc>
          <w:tcPr>
            <w:tcW w:type="dxa" w:w="6236"/>
            <w:vAlign w:val="center"/>
          </w:tcPr>
          <w:p>
            <w:pPr>
              <w:spacing w:after="0" w:line="240" w:lineRule="auto"/>
            </w:pPr>
            <w:r/>
            <w:r>
              <w:rPr>
                <w:rFonts w:ascii="Calibri" w:hAnsi="Calibri" w:eastAsia="Microsoft YaHei"/>
                <w:b w:val="0"/>
                <w:sz w:val="17"/>
              </w:rPr>
              <w:t>author_claim / association / hypothesis / negated；必要时保留原始措辞</w:t>
            </w:r>
          </w:p>
        </w:tc>
      </w:tr>
      <w:tr>
        <w:trPr>
          <w:cantSplit/>
        </w:trPr>
        <w:tc>
          <w:tcPr>
            <w:tcW w:type="dxa" w:w="2268"/>
            <w:vAlign w:val="center"/>
          </w:tcPr>
          <w:p>
            <w:pPr>
              <w:spacing w:after="0" w:line="240" w:lineRule="auto"/>
            </w:pPr>
            <w:r/>
            <w:r>
              <w:rPr>
                <w:rFonts w:ascii="Calibri" w:hAnsi="Calibri" w:eastAsia="Microsoft YaHei"/>
                <w:b w:val="0"/>
                <w:sz w:val="17"/>
              </w:rPr>
              <w:t>联合主张</w:t>
            </w:r>
          </w:p>
        </w:tc>
        <w:tc>
          <w:tcPr>
            <w:tcW w:type="dxa" w:w="6236"/>
            <w:vAlign w:val="center"/>
          </w:tcPr>
          <w:p>
            <w:pPr>
              <w:spacing w:after="0" w:line="240" w:lineRule="auto"/>
            </w:pPr>
            <w:r/>
            <w:r>
              <w:rPr>
                <w:rFonts w:ascii="Calibri" w:hAnsi="Calibri" w:eastAsia="Microsoft YaHei"/>
                <w:b w:val="0"/>
                <w:sz w:val="17"/>
              </w:rPr>
              <w:t>claim_id、joint_factor_group，避免把协同结果误写成单因素独立贡献</w:t>
            </w:r>
          </w:p>
        </w:tc>
      </w:tr>
      <w:tr>
        <w:trPr>
          <w:cantSplit/>
        </w:trPr>
        <w:tc>
          <w:tcPr>
            <w:tcW w:type="dxa" w:w="2268"/>
            <w:vAlign w:val="center"/>
          </w:tcPr>
          <w:p>
            <w:pPr>
              <w:spacing w:after="0" w:line="240" w:lineRule="auto"/>
            </w:pPr>
            <w:r/>
            <w:r>
              <w:rPr>
                <w:rFonts w:ascii="Calibri" w:hAnsi="Calibri" w:eastAsia="Microsoft YaHei"/>
                <w:b w:val="0"/>
                <w:sz w:val="17"/>
              </w:rPr>
              <w:t>文献角色</w:t>
            </w:r>
          </w:p>
        </w:tc>
        <w:tc>
          <w:tcPr>
            <w:tcW w:type="dxa" w:w="6236"/>
            <w:vAlign w:val="center"/>
          </w:tcPr>
          <w:p>
            <w:pPr>
              <w:spacing w:after="0" w:line="240" w:lineRule="auto"/>
            </w:pPr>
            <w:r/>
            <w:r>
              <w:rPr>
                <w:rFonts w:ascii="Calibri" w:hAnsi="Calibri" w:eastAsia="Microsoft YaHei"/>
                <w:b w:val="0"/>
                <w:sz w:val="17"/>
              </w:rPr>
              <w:t>article_role、claim_scope：本篇结果 / 综述概括 / 理论模型 / 背景</w:t>
            </w:r>
          </w:p>
        </w:tc>
      </w:tr>
      <w:tr>
        <w:trPr>
          <w:cantSplit/>
        </w:trPr>
        <w:tc>
          <w:tcPr>
            <w:tcW w:type="dxa" w:w="2268"/>
            <w:vAlign w:val="center"/>
          </w:tcPr>
          <w:p>
            <w:pPr>
              <w:spacing w:after="0" w:line="240" w:lineRule="auto"/>
            </w:pPr>
            <w:r/>
            <w:r>
              <w:rPr>
                <w:rFonts w:ascii="Calibri" w:hAnsi="Calibri" w:eastAsia="Microsoft YaHei"/>
                <w:b w:val="0"/>
                <w:sz w:val="17"/>
              </w:rPr>
              <w:t>审核状态</w:t>
            </w:r>
          </w:p>
        </w:tc>
        <w:tc>
          <w:tcPr>
            <w:tcW w:type="dxa" w:w="6236"/>
            <w:vAlign w:val="center"/>
          </w:tcPr>
          <w:p>
            <w:pPr>
              <w:spacing w:after="0" w:line="240" w:lineRule="auto"/>
            </w:pPr>
            <w:r/>
            <w:r>
              <w:rPr>
                <w:rFonts w:ascii="Calibri" w:hAnsi="Calibri" w:eastAsia="Microsoft YaHei"/>
                <w:b w:val="0"/>
                <w:sz w:val="17"/>
              </w:rPr>
              <w:t>machine_extracted、rule_validated、human_accept/reject、reason</w:t>
            </w:r>
          </w:p>
        </w:tc>
      </w:tr>
    </w:tbl>
    <w:p/>
    <w:p>
      <w:pPr>
        <w:pStyle w:val="Heading2"/>
      </w:pPr>
      <w:r>
        <w:t>3.2 语义角色 v2（新增，不删除旧五层）</w:t>
      </w:r>
    </w:p>
    <w:p>
      <w:pPr/>
      <w:r>
        <w:t>原 material_strategy / interaction / mechanism / physical_consequence / performance 保留为 legacy_role。新增 semantic_role 用于分析，避免 descriptor、状态量、条件和器件结构被硬塞进同一层。</w:t>
      </w:r>
    </w:p>
    <w:tbl>
      <w:tblPr>
        <w:tblStyle w:val="TableGrid"/>
        <w:tblW w:type="auto" w:w="0"/>
        <w:jc w:val="center"/>
        <w:tblLayout w:type="autofit"/>
        <w:tblLook w:firstColumn="1" w:firstRow="1" w:lastColumn="0" w:lastRow="0" w:noHBand="0" w:noVBand="1" w:val="04A0"/>
      </w:tblPr>
      <w:tblGrid>
        <w:gridCol w:w="4791"/>
        <w:gridCol w:w="4791"/>
      </w:tblGrid>
      <w:tr>
        <w:trPr>
          <w:tblHeader w:val="true"/>
          <w:cantSplit/>
        </w:trPr>
        <w:tc>
          <w:tcPr>
            <w:tcW w:type="dxa" w:w="2381"/>
            <w:vAlign w:val="center"/>
            <w:shd w:fill="D9E1F2"/>
          </w:tcPr>
          <w:p>
            <w:pPr>
              <w:spacing w:after="0" w:line="240" w:lineRule="auto"/>
            </w:pPr>
            <w:r/>
            <w:r>
              <w:rPr>
                <w:rFonts w:ascii="Calibri" w:hAnsi="Calibri" w:eastAsia="Microsoft YaHei"/>
                <w:b/>
                <w:sz w:val="17"/>
              </w:rPr>
              <w:t>semantic_role</w:t>
            </w:r>
          </w:p>
        </w:tc>
        <w:tc>
          <w:tcPr>
            <w:tcW w:type="dxa" w:w="6123"/>
            <w:vAlign w:val="center"/>
            <w:shd w:fill="D9E1F2"/>
          </w:tcPr>
          <w:p>
            <w:pPr>
              <w:spacing w:after="0" w:line="240" w:lineRule="auto"/>
            </w:pPr>
            <w:r/>
            <w:r>
              <w:rPr>
                <w:rFonts w:ascii="Calibri" w:hAnsi="Calibri" w:eastAsia="Microsoft YaHei"/>
                <w:b/>
                <w:sz w:val="17"/>
              </w:rPr>
              <w:t>定义/例子</w:t>
            </w:r>
          </w:p>
        </w:tc>
      </w:tr>
      <w:tr>
        <w:trPr>
          <w:cantSplit/>
        </w:trPr>
        <w:tc>
          <w:tcPr>
            <w:tcW w:type="dxa" w:w="2381"/>
            <w:vAlign w:val="center"/>
          </w:tcPr>
          <w:p>
            <w:pPr>
              <w:spacing w:after="0" w:line="240" w:lineRule="auto"/>
            </w:pPr>
            <w:r/>
            <w:r>
              <w:rPr>
                <w:rFonts w:ascii="Calibri" w:hAnsi="Calibri" w:eastAsia="Microsoft YaHei"/>
                <w:b w:val="0"/>
                <w:sz w:val="17"/>
              </w:rPr>
              <w:t>material_entity</w:t>
            </w:r>
          </w:p>
        </w:tc>
        <w:tc>
          <w:tcPr>
            <w:tcW w:type="dxa" w:w="6123"/>
            <w:vAlign w:val="center"/>
          </w:tcPr>
          <w:p>
            <w:pPr>
              <w:spacing w:after="0" w:line="240" w:lineRule="auto"/>
            </w:pPr>
            <w:r/>
            <w:r>
              <w:rPr>
                <w:rFonts w:ascii="Calibri" w:hAnsi="Calibri" w:eastAsia="Microsoft YaHei"/>
                <w:b w:val="0"/>
                <w:sz w:val="17"/>
              </w:rPr>
              <w:t>PVA、Fe(CN)6³⁻/⁴⁻、18-crown-6、MXene 等材料/组分实体</w:t>
            </w:r>
          </w:p>
        </w:tc>
      </w:tr>
      <w:tr>
        <w:trPr>
          <w:cantSplit/>
        </w:trPr>
        <w:tc>
          <w:tcPr>
            <w:tcW w:type="dxa" w:w="2381"/>
            <w:vAlign w:val="center"/>
          </w:tcPr>
          <w:p>
            <w:pPr>
              <w:spacing w:after="0" w:line="240" w:lineRule="auto"/>
            </w:pPr>
            <w:r/>
            <w:r>
              <w:rPr>
                <w:rFonts w:ascii="Calibri" w:hAnsi="Calibri" w:eastAsia="Microsoft YaHei"/>
                <w:b w:val="0"/>
                <w:sz w:val="17"/>
              </w:rPr>
              <w:t>design_strategy</w:t>
            </w:r>
          </w:p>
        </w:tc>
        <w:tc>
          <w:tcPr>
            <w:tcW w:type="dxa" w:w="6123"/>
            <w:vAlign w:val="center"/>
          </w:tcPr>
          <w:p>
            <w:pPr>
              <w:spacing w:after="0" w:line="240" w:lineRule="auto"/>
            </w:pPr>
            <w:r/>
            <w:r>
              <w:rPr>
                <w:rFonts w:ascii="Calibri" w:hAnsi="Calibri" w:eastAsia="Microsoft YaHei"/>
                <w:b w:val="0"/>
                <w:sz w:val="17"/>
              </w:rPr>
              <w:t>掺杂、溶剂置换、梯度固定、双网络、相变设计等操作策略</w:t>
            </w:r>
          </w:p>
        </w:tc>
      </w:tr>
      <w:tr>
        <w:trPr>
          <w:cantSplit/>
        </w:trPr>
        <w:tc>
          <w:tcPr>
            <w:tcW w:type="dxa" w:w="2381"/>
            <w:vAlign w:val="center"/>
          </w:tcPr>
          <w:p>
            <w:pPr>
              <w:spacing w:after="0" w:line="240" w:lineRule="auto"/>
            </w:pPr>
            <w:r/>
            <w:r>
              <w:rPr>
                <w:rFonts w:ascii="Calibri" w:hAnsi="Calibri" w:eastAsia="Microsoft YaHei"/>
                <w:b w:val="0"/>
                <w:sz w:val="17"/>
              </w:rPr>
              <w:t>condition</w:t>
            </w:r>
          </w:p>
        </w:tc>
        <w:tc>
          <w:tcPr>
            <w:tcW w:type="dxa" w:w="6123"/>
            <w:vAlign w:val="center"/>
          </w:tcPr>
          <w:p>
            <w:pPr>
              <w:spacing w:after="0" w:line="240" w:lineRule="auto"/>
            </w:pPr>
            <w:r/>
            <w:r>
              <w:rPr>
                <w:rFonts w:ascii="Calibri" w:hAnsi="Calibri" w:eastAsia="Microsoft YaHei"/>
                <w:b w:val="0"/>
                <w:sz w:val="17"/>
              </w:rPr>
              <w:t>温度、浓度、湿度、压力、pH、几何/取向等实验或工作条件</w:t>
            </w:r>
          </w:p>
        </w:tc>
      </w:tr>
      <w:tr>
        <w:trPr>
          <w:cantSplit/>
        </w:trPr>
        <w:tc>
          <w:tcPr>
            <w:tcW w:type="dxa" w:w="2381"/>
            <w:vAlign w:val="center"/>
          </w:tcPr>
          <w:p>
            <w:pPr>
              <w:spacing w:after="0" w:line="240" w:lineRule="auto"/>
            </w:pPr>
            <w:r/>
            <w:r>
              <w:rPr>
                <w:rFonts w:ascii="Calibri" w:hAnsi="Calibri" w:eastAsia="Microsoft YaHei"/>
                <w:b w:val="0"/>
                <w:sz w:val="17"/>
              </w:rPr>
              <w:t>interaction</w:t>
            </w:r>
          </w:p>
        </w:tc>
        <w:tc>
          <w:tcPr>
            <w:tcW w:type="dxa" w:w="6123"/>
            <w:vAlign w:val="center"/>
          </w:tcPr>
          <w:p>
            <w:pPr>
              <w:spacing w:after="0" w:line="240" w:lineRule="auto"/>
            </w:pPr>
            <w:r/>
            <w:r>
              <w:rPr>
                <w:rFonts w:ascii="Calibri" w:hAnsi="Calibri" w:eastAsia="Microsoft YaHei"/>
                <w:b w:val="0"/>
                <w:sz w:val="17"/>
              </w:rPr>
              <w:t>氢键、配位、静电、离子-偶极、主客体、π-π 等相互作用</w:t>
            </w:r>
          </w:p>
        </w:tc>
      </w:tr>
      <w:tr>
        <w:trPr>
          <w:cantSplit/>
        </w:trPr>
        <w:tc>
          <w:tcPr>
            <w:tcW w:type="dxa" w:w="2381"/>
            <w:vAlign w:val="center"/>
          </w:tcPr>
          <w:p>
            <w:pPr>
              <w:spacing w:after="0" w:line="240" w:lineRule="auto"/>
            </w:pPr>
            <w:r/>
            <w:r>
              <w:rPr>
                <w:rFonts w:ascii="Calibri" w:hAnsi="Calibri" w:eastAsia="Microsoft YaHei"/>
                <w:b w:val="0"/>
                <w:sz w:val="17"/>
              </w:rPr>
              <w:t>mechanism_process</w:t>
            </w:r>
          </w:p>
        </w:tc>
        <w:tc>
          <w:tcPr>
            <w:tcW w:type="dxa" w:w="6123"/>
            <w:vAlign w:val="center"/>
          </w:tcPr>
          <w:p>
            <w:pPr>
              <w:spacing w:after="0" w:line="240" w:lineRule="auto"/>
            </w:pPr>
            <w:r/>
            <w:r>
              <w:rPr>
                <w:rFonts w:ascii="Calibri" w:hAnsi="Calibri" w:eastAsia="Microsoft YaHei"/>
                <w:b w:val="0"/>
                <w:sz w:val="17"/>
              </w:rPr>
              <w:t>热扩散、选择性迁移、溶剂化壳重排、结晶、氧化还原、对流等过程</w:t>
            </w:r>
          </w:p>
        </w:tc>
      </w:tr>
      <w:tr>
        <w:trPr>
          <w:cantSplit/>
        </w:trPr>
        <w:tc>
          <w:tcPr>
            <w:tcW w:type="dxa" w:w="2381"/>
            <w:vAlign w:val="center"/>
          </w:tcPr>
          <w:p>
            <w:pPr>
              <w:spacing w:after="0" w:line="240" w:lineRule="auto"/>
            </w:pPr>
            <w:r/>
            <w:r>
              <w:rPr>
                <w:rFonts w:ascii="Calibri" w:hAnsi="Calibri" w:eastAsia="Microsoft YaHei"/>
                <w:b w:val="0"/>
                <w:sz w:val="17"/>
              </w:rPr>
              <w:t>state_structure</w:t>
            </w:r>
          </w:p>
        </w:tc>
        <w:tc>
          <w:tcPr>
            <w:tcW w:type="dxa" w:w="6123"/>
            <w:vAlign w:val="center"/>
          </w:tcPr>
          <w:p>
            <w:pPr>
              <w:spacing w:after="0" w:line="240" w:lineRule="auto"/>
            </w:pPr>
            <w:r/>
            <w:r>
              <w:rPr>
                <w:rFonts w:ascii="Calibri" w:hAnsi="Calibri" w:eastAsia="Microsoft YaHei"/>
                <w:b w:val="0"/>
                <w:sz w:val="17"/>
              </w:rPr>
              <w:t>溶剂化结构、晶相、孔道、离子簇、双电层、局部富集等状态/结构</w:t>
            </w:r>
          </w:p>
        </w:tc>
      </w:tr>
      <w:tr>
        <w:trPr>
          <w:cantSplit/>
        </w:trPr>
        <w:tc>
          <w:tcPr>
            <w:tcW w:type="dxa" w:w="2381"/>
            <w:vAlign w:val="center"/>
          </w:tcPr>
          <w:p>
            <w:pPr>
              <w:spacing w:after="0" w:line="240" w:lineRule="auto"/>
            </w:pPr>
            <w:r/>
            <w:r>
              <w:rPr>
                <w:rFonts w:ascii="Calibri" w:hAnsi="Calibri" w:eastAsia="Microsoft YaHei"/>
                <w:b w:val="0"/>
                <w:sz w:val="17"/>
              </w:rPr>
              <w:t>quantity</w:t>
            </w:r>
          </w:p>
        </w:tc>
        <w:tc>
          <w:tcPr>
            <w:tcW w:type="dxa" w:w="6123"/>
            <w:vAlign w:val="center"/>
          </w:tcPr>
          <w:p>
            <w:pPr>
              <w:spacing w:after="0" w:line="240" w:lineRule="auto"/>
            </w:pPr>
            <w:r/>
            <w:r>
              <w:rPr>
                <w:rFonts w:ascii="Calibri" w:hAnsi="Calibri" w:eastAsia="Microsoft YaHei"/>
                <w:b w:val="0"/>
                <w:sz w:val="17"/>
              </w:rPr>
              <w:t>离子电导率、扩散系数、反应熵、活化能、交换电流密度、热导率等物理量</w:t>
            </w:r>
          </w:p>
        </w:tc>
      </w:tr>
      <w:tr>
        <w:trPr>
          <w:cantSplit/>
        </w:trPr>
        <w:tc>
          <w:tcPr>
            <w:tcW w:type="dxa" w:w="2381"/>
            <w:vAlign w:val="center"/>
          </w:tcPr>
          <w:p>
            <w:pPr>
              <w:spacing w:after="0" w:line="240" w:lineRule="auto"/>
            </w:pPr>
            <w:r/>
            <w:r>
              <w:rPr>
                <w:rFonts w:ascii="Calibri" w:hAnsi="Calibri" w:eastAsia="Microsoft YaHei"/>
                <w:b w:val="0"/>
                <w:sz w:val="17"/>
              </w:rPr>
              <w:t>descriptor</w:t>
            </w:r>
          </w:p>
        </w:tc>
        <w:tc>
          <w:tcPr>
            <w:tcW w:type="dxa" w:w="6123"/>
            <w:vAlign w:val="center"/>
          </w:tcPr>
          <w:p>
            <w:pPr>
              <w:spacing w:after="0" w:line="240" w:lineRule="auto"/>
            </w:pPr>
            <w:r/>
            <w:r>
              <w:rPr>
                <w:rFonts w:ascii="Calibri" w:hAnsi="Calibri" w:eastAsia="Microsoft YaHei"/>
                <w:b w:val="0"/>
                <w:sz w:val="17"/>
              </w:rPr>
              <w:t>DN、分子描述符、模型特征等表征/预测变量</w:t>
            </w:r>
          </w:p>
        </w:tc>
      </w:tr>
      <w:tr>
        <w:trPr>
          <w:cantSplit/>
        </w:trPr>
        <w:tc>
          <w:tcPr>
            <w:tcW w:type="dxa" w:w="2381"/>
            <w:vAlign w:val="center"/>
          </w:tcPr>
          <w:p>
            <w:pPr>
              <w:spacing w:after="0" w:line="240" w:lineRule="auto"/>
            </w:pPr>
            <w:r/>
            <w:r>
              <w:rPr>
                <w:rFonts w:ascii="Calibri" w:hAnsi="Calibri" w:eastAsia="Microsoft YaHei"/>
                <w:b w:val="0"/>
                <w:sz w:val="17"/>
              </w:rPr>
              <w:t>performance_function</w:t>
            </w:r>
          </w:p>
        </w:tc>
        <w:tc>
          <w:tcPr>
            <w:tcW w:type="dxa" w:w="6123"/>
            <w:vAlign w:val="center"/>
          </w:tcPr>
          <w:p>
            <w:pPr>
              <w:spacing w:after="0" w:line="240" w:lineRule="auto"/>
            </w:pPr>
            <w:r/>
            <w:r>
              <w:rPr>
                <w:rFonts w:ascii="Calibri" w:hAnsi="Calibri" w:eastAsia="Microsoft YaHei"/>
                <w:b w:val="0"/>
                <w:sz w:val="17"/>
              </w:rPr>
              <w:t>Seebeck、功率、输出电压、稳定性、机械/传感等结果指标</w:t>
            </w:r>
          </w:p>
        </w:tc>
      </w:tr>
      <w:tr>
        <w:trPr>
          <w:cantSplit/>
        </w:trPr>
        <w:tc>
          <w:tcPr>
            <w:tcW w:type="dxa" w:w="2381"/>
            <w:vAlign w:val="center"/>
          </w:tcPr>
          <w:p>
            <w:pPr>
              <w:spacing w:after="0" w:line="240" w:lineRule="auto"/>
            </w:pPr>
            <w:r/>
            <w:r>
              <w:rPr>
                <w:rFonts w:ascii="Calibri" w:hAnsi="Calibri" w:eastAsia="Microsoft YaHei"/>
                <w:b w:val="0"/>
                <w:sz w:val="17"/>
              </w:rPr>
              <w:t>application</w:t>
            </w:r>
          </w:p>
        </w:tc>
        <w:tc>
          <w:tcPr>
            <w:tcW w:type="dxa" w:w="6123"/>
            <w:vAlign w:val="center"/>
          </w:tcPr>
          <w:p>
            <w:pPr>
              <w:spacing w:after="0" w:line="240" w:lineRule="auto"/>
            </w:pPr>
            <w:r/>
            <w:r>
              <w:rPr>
                <w:rFonts w:ascii="Calibri" w:hAnsi="Calibri" w:eastAsia="Microsoft YaHei"/>
                <w:b w:val="0"/>
                <w:sz w:val="17"/>
              </w:rPr>
              <w:t>火灾预警、可穿戴传感、热管理等应用层概念</w:t>
            </w:r>
          </w:p>
        </w:tc>
      </w:tr>
    </w:tbl>
    <w:p/>
    <w:p>
      <w:pPr>
        <w:pStyle w:val="Heading2"/>
      </w:pPr>
      <w:r>
        <w:t>3.3 概念归一化不是“统一成一个词”，而是概念图</w:t>
      </w:r>
    </w:p>
    <w:p>
      <w:pPr/>
      <w:r>
        <w:t>每个 raw mention 指向一个当前概念节点；概念之间允许存在关系。只有 equivalent_to 经复核后可以折叠 ID，其余关系保留两个独立概念。</w:t>
      </w:r>
    </w:p>
    <w:tbl>
      <w:tblPr>
        <w:tblStyle w:val="TableGrid"/>
        <w:tblW w:type="auto" w:w="0"/>
        <w:jc w:val="center"/>
        <w:tblLayout w:type="autofit"/>
        <w:tblLook w:firstColumn="1" w:firstRow="1" w:lastColumn="0" w:lastRow="0" w:noHBand="0" w:noVBand="1" w:val="04A0"/>
      </w:tblPr>
      <w:tblGrid>
        <w:gridCol w:w="3194"/>
        <w:gridCol w:w="3194"/>
        <w:gridCol w:w="3194"/>
      </w:tblGrid>
      <w:tr>
        <w:trPr>
          <w:tblHeader w:val="true"/>
          <w:cantSplit/>
        </w:trPr>
        <w:tc>
          <w:tcPr>
            <w:tcW w:type="dxa" w:w="2324"/>
            <w:vAlign w:val="center"/>
            <w:shd w:fill="D9E1F2"/>
          </w:tcPr>
          <w:p>
            <w:pPr>
              <w:spacing w:after="0" w:line="240" w:lineRule="auto"/>
            </w:pPr>
            <w:r/>
            <w:r>
              <w:rPr>
                <w:rFonts w:ascii="Calibri" w:hAnsi="Calibri" w:eastAsia="Microsoft YaHei"/>
                <w:b/>
                <w:sz w:val="17"/>
              </w:rPr>
              <w:t>概念关系</w:t>
            </w:r>
          </w:p>
        </w:tc>
        <w:tc>
          <w:tcPr>
            <w:tcW w:type="dxa" w:w="2835"/>
            <w:vAlign w:val="center"/>
            <w:shd w:fill="D9E1F2"/>
          </w:tcPr>
          <w:p>
            <w:pPr>
              <w:spacing w:after="0" w:line="240" w:lineRule="auto"/>
            </w:pPr>
            <w:r/>
            <w:r>
              <w:rPr>
                <w:rFonts w:ascii="Calibri" w:hAnsi="Calibri" w:eastAsia="Microsoft YaHei"/>
                <w:b/>
                <w:sz w:val="17"/>
              </w:rPr>
              <w:t>处理规则</w:t>
            </w:r>
          </w:p>
        </w:tc>
        <w:tc>
          <w:tcPr>
            <w:tcW w:type="dxa" w:w="3345"/>
            <w:vAlign w:val="center"/>
            <w:shd w:fill="D9E1F2"/>
          </w:tcPr>
          <w:p>
            <w:pPr>
              <w:spacing w:after="0" w:line="240" w:lineRule="auto"/>
            </w:pPr>
            <w:r/>
            <w:r>
              <w:rPr>
                <w:rFonts w:ascii="Calibri" w:hAnsi="Calibri" w:eastAsia="Microsoft YaHei"/>
                <w:b/>
                <w:sz w:val="17"/>
              </w:rPr>
              <w:t>示例逻辑</w:t>
            </w:r>
          </w:p>
        </w:tc>
      </w:tr>
      <w:tr>
        <w:trPr>
          <w:cantSplit/>
        </w:trPr>
        <w:tc>
          <w:tcPr>
            <w:tcW w:type="dxa" w:w="2324"/>
            <w:vAlign w:val="center"/>
          </w:tcPr>
          <w:p>
            <w:pPr>
              <w:spacing w:after="0" w:line="240" w:lineRule="auto"/>
            </w:pPr>
            <w:r/>
            <w:r>
              <w:rPr>
                <w:rFonts w:ascii="Calibri" w:hAnsi="Calibri" w:eastAsia="Microsoft YaHei"/>
                <w:b w:val="0"/>
                <w:sz w:val="17"/>
              </w:rPr>
              <w:t>equivalent_to</w:t>
            </w:r>
          </w:p>
        </w:tc>
        <w:tc>
          <w:tcPr>
            <w:tcW w:type="dxa" w:w="2835"/>
            <w:vAlign w:val="center"/>
          </w:tcPr>
          <w:p>
            <w:pPr>
              <w:spacing w:after="0" w:line="240" w:lineRule="auto"/>
            </w:pPr>
            <w:r/>
            <w:r>
              <w:rPr>
                <w:rFonts w:ascii="Calibri" w:hAnsi="Calibri" w:eastAsia="Microsoft YaHei"/>
                <w:b w:val="0"/>
                <w:sz w:val="17"/>
              </w:rPr>
              <w:t>确认同义后可合并概念 ID</w:t>
            </w:r>
          </w:p>
        </w:tc>
        <w:tc>
          <w:tcPr>
            <w:tcW w:type="dxa" w:w="3345"/>
            <w:vAlign w:val="center"/>
          </w:tcPr>
          <w:p>
            <w:pPr>
              <w:spacing w:after="0" w:line="240" w:lineRule="auto"/>
            </w:pPr>
            <w:r/>
            <w:r>
              <w:rPr>
                <w:rFonts w:ascii="Calibri" w:hAnsi="Calibri" w:eastAsia="Microsoft YaHei"/>
                <w:b w:val="0"/>
                <w:sz w:val="17"/>
              </w:rPr>
              <w:t>Soret effect ↔ ionic thermodiffusion（仅在上下文明确时）</w:t>
            </w:r>
          </w:p>
        </w:tc>
      </w:tr>
      <w:tr>
        <w:trPr>
          <w:cantSplit/>
        </w:trPr>
        <w:tc>
          <w:tcPr>
            <w:tcW w:type="dxa" w:w="2324"/>
            <w:vAlign w:val="center"/>
          </w:tcPr>
          <w:p>
            <w:pPr>
              <w:spacing w:after="0" w:line="240" w:lineRule="auto"/>
            </w:pPr>
            <w:r/>
            <w:r>
              <w:rPr>
                <w:rFonts w:ascii="Calibri" w:hAnsi="Calibri" w:eastAsia="Microsoft YaHei"/>
                <w:b w:val="0"/>
                <w:sz w:val="17"/>
              </w:rPr>
              <w:t>narrower_than / broader_than</w:t>
            </w:r>
          </w:p>
        </w:tc>
        <w:tc>
          <w:tcPr>
            <w:tcW w:type="dxa" w:w="2835"/>
            <w:vAlign w:val="center"/>
          </w:tcPr>
          <w:p>
            <w:pPr>
              <w:spacing w:after="0" w:line="240" w:lineRule="auto"/>
            </w:pPr>
            <w:r/>
            <w:r>
              <w:rPr>
                <w:rFonts w:ascii="Calibri" w:hAnsi="Calibri" w:eastAsia="Microsoft YaHei"/>
                <w:b w:val="0"/>
                <w:sz w:val="17"/>
              </w:rPr>
              <w:t>不合并，建立层级边</w:t>
            </w:r>
          </w:p>
        </w:tc>
        <w:tc>
          <w:tcPr>
            <w:tcW w:type="dxa" w:w="3345"/>
            <w:vAlign w:val="center"/>
          </w:tcPr>
          <w:p>
            <w:pPr>
              <w:spacing w:after="0" w:line="240" w:lineRule="auto"/>
            </w:pPr>
            <w:r/>
            <w:r>
              <w:rPr>
                <w:rFonts w:ascii="Calibri" w:hAnsi="Calibri" w:eastAsia="Microsoft YaHei"/>
                <w:b w:val="0"/>
                <w:sz w:val="17"/>
              </w:rPr>
              <w:t>anion thermodiffusion → thermodiffusion</w:t>
            </w:r>
          </w:p>
        </w:tc>
      </w:tr>
      <w:tr>
        <w:trPr>
          <w:cantSplit/>
        </w:trPr>
        <w:tc>
          <w:tcPr>
            <w:tcW w:type="dxa" w:w="2324"/>
            <w:vAlign w:val="center"/>
          </w:tcPr>
          <w:p>
            <w:pPr>
              <w:spacing w:after="0" w:line="240" w:lineRule="auto"/>
            </w:pPr>
            <w:r/>
            <w:r>
              <w:rPr>
                <w:rFonts w:ascii="Calibri" w:hAnsi="Calibri" w:eastAsia="Microsoft YaHei"/>
                <w:b w:val="0"/>
                <w:sz w:val="17"/>
              </w:rPr>
              <w:t>related_to</w:t>
            </w:r>
          </w:p>
        </w:tc>
        <w:tc>
          <w:tcPr>
            <w:tcW w:type="dxa" w:w="2835"/>
            <w:vAlign w:val="center"/>
          </w:tcPr>
          <w:p>
            <w:pPr>
              <w:spacing w:after="0" w:line="240" w:lineRule="auto"/>
            </w:pPr>
            <w:r/>
            <w:r>
              <w:rPr>
                <w:rFonts w:ascii="Calibri" w:hAnsi="Calibri" w:eastAsia="Microsoft YaHei"/>
                <w:b w:val="0"/>
                <w:sz w:val="17"/>
              </w:rPr>
              <w:t>不合并，仅表示科学相关</w:t>
            </w:r>
          </w:p>
        </w:tc>
        <w:tc>
          <w:tcPr>
            <w:tcW w:type="dxa" w:w="3345"/>
            <w:vAlign w:val="center"/>
          </w:tcPr>
          <w:p>
            <w:pPr>
              <w:spacing w:after="0" w:line="240" w:lineRule="auto"/>
            </w:pPr>
            <w:r/>
            <w:r>
              <w:rPr>
                <w:rFonts w:ascii="Calibri" w:hAnsi="Calibri" w:eastAsia="Microsoft YaHei"/>
                <w:b w:val="0"/>
                <w:sz w:val="17"/>
              </w:rPr>
              <w:t>coordination ↔ solvation-shell reorganization</w:t>
            </w:r>
          </w:p>
        </w:tc>
      </w:tr>
      <w:tr>
        <w:trPr>
          <w:cantSplit/>
        </w:trPr>
        <w:tc>
          <w:tcPr>
            <w:tcW w:type="dxa" w:w="2324"/>
            <w:vAlign w:val="center"/>
          </w:tcPr>
          <w:p>
            <w:pPr>
              <w:spacing w:after="0" w:line="240" w:lineRule="auto"/>
            </w:pPr>
            <w:r/>
            <w:r>
              <w:rPr>
                <w:rFonts w:ascii="Calibri" w:hAnsi="Calibri" w:eastAsia="Microsoft YaHei"/>
                <w:b w:val="0"/>
                <w:sz w:val="17"/>
              </w:rPr>
              <w:t>distinct_from</w:t>
            </w:r>
          </w:p>
        </w:tc>
        <w:tc>
          <w:tcPr>
            <w:tcW w:type="dxa" w:w="2835"/>
            <w:vAlign w:val="center"/>
          </w:tcPr>
          <w:p>
            <w:pPr>
              <w:spacing w:after="0" w:line="240" w:lineRule="auto"/>
            </w:pPr>
            <w:r/>
            <w:r>
              <w:rPr>
                <w:rFonts w:ascii="Calibri" w:hAnsi="Calibri" w:eastAsia="Microsoft YaHei"/>
                <w:b w:val="0"/>
                <w:sz w:val="17"/>
              </w:rPr>
              <w:t>明确禁止合并</w:t>
            </w:r>
          </w:p>
        </w:tc>
        <w:tc>
          <w:tcPr>
            <w:tcW w:type="dxa" w:w="3345"/>
            <w:vAlign w:val="center"/>
          </w:tcPr>
          <w:p>
            <w:pPr>
              <w:spacing w:after="0" w:line="240" w:lineRule="auto"/>
            </w:pPr>
            <w:r/>
            <w:r>
              <w:rPr>
                <w:rFonts w:ascii="Calibri" w:hAnsi="Calibri" w:eastAsia="Microsoft YaHei"/>
                <w:b w:val="0"/>
                <w:sz w:val="17"/>
              </w:rPr>
              <w:t>TDIEM ≠ Soret thermodiffusion；固定阴离子 ≠ 扩散受限</w:t>
            </w:r>
          </w:p>
        </w:tc>
      </w:tr>
      <w:tr>
        <w:trPr>
          <w:cantSplit/>
        </w:trPr>
        <w:tc>
          <w:tcPr>
            <w:tcW w:type="dxa" w:w="2324"/>
            <w:vAlign w:val="center"/>
          </w:tcPr>
          <w:p>
            <w:pPr>
              <w:spacing w:after="0" w:line="240" w:lineRule="auto"/>
            </w:pPr>
            <w:r/>
            <w:r>
              <w:rPr>
                <w:rFonts w:ascii="Calibri" w:hAnsi="Calibri" w:eastAsia="Microsoft YaHei"/>
                <w:b w:val="0"/>
                <w:sz w:val="17"/>
              </w:rPr>
              <w:t>uncertain</w:t>
            </w:r>
          </w:p>
        </w:tc>
        <w:tc>
          <w:tcPr>
            <w:tcW w:type="dxa" w:w="2835"/>
            <w:vAlign w:val="center"/>
          </w:tcPr>
          <w:p>
            <w:pPr>
              <w:spacing w:after="0" w:line="240" w:lineRule="auto"/>
            </w:pPr>
            <w:r/>
            <w:r>
              <w:rPr>
                <w:rFonts w:ascii="Calibri" w:hAnsi="Calibri" w:eastAsia="Microsoft YaHei"/>
                <w:b w:val="0"/>
                <w:sz w:val="17"/>
              </w:rPr>
              <w:t>进入复核队列，不参与自动折叠</w:t>
            </w:r>
          </w:p>
        </w:tc>
        <w:tc>
          <w:tcPr>
            <w:tcW w:type="dxa" w:w="3345"/>
            <w:vAlign w:val="center"/>
          </w:tcPr>
          <w:p>
            <w:pPr>
              <w:spacing w:after="0" w:line="240" w:lineRule="auto"/>
            </w:pPr>
            <w:r/>
            <w:r>
              <w:rPr>
                <w:rFonts w:ascii="Calibri" w:hAnsi="Calibri" w:eastAsia="Microsoft YaHei"/>
                <w:b w:val="0"/>
                <w:sz w:val="17"/>
              </w:rPr>
              <w:t>diffusion difference 是否等同 thermodiffusion</w:t>
            </w:r>
          </w:p>
        </w:tc>
      </w:tr>
    </w:tbl>
    <w:p/>
    <w:p>
      <w:pPr/>
      <w:r>
        <w:t>同义归一化必须保留对象、方向和适用域。例如“solvent crystallization inhibited”和“redox-ion selective crystallization promoted”不能因都含 crystallization 而合并成同一机制结论。</w:t>
      </w:r>
    </w:p>
    <w:p>
      <w:pPr>
        <w:pStyle w:val="Heading1"/>
      </w:pPr>
      <w:r>
        <w:t>4 Stage 2：立即可运行的归一化与质量审计流程</w:t>
      </w:r>
    </w:p>
    <w:p>
      <w:pPr>
        <w:pStyle w:val="Heading2"/>
      </w:pPr>
      <w:r>
        <w:t>4.1 Step 0：冻结 Stage 1</w:t>
      </w:r>
    </w:p>
    <w:p>
      <w:pPr>
        <w:ind w:left="255" w:hanging="198"/>
      </w:pPr>
      <w:r>
        <w:t>1. 复制当前交付为只读快照，记录文件哈希、脚本版本和 schema_version=core_claim_v1。</w:t>
      </w:r>
    </w:p>
    <w:p>
      <w:pPr>
        <w:ind w:left="255" w:hanging="198"/>
      </w:pPr>
      <w:r>
        <w:t>2. 保留 4,646 个 raw mentions 与 2,655 条 raw relations 的原始 ID，后续不重编号。</w:t>
      </w:r>
    </w:p>
    <w:p>
      <w:pPr>
        <w:ind w:left="255" w:hanging="198"/>
      </w:pPr>
      <w:r>
        <w:t>3. 新建 normalization_v2、audit_v2 和 graphs_v2 目录；任何人工修订写入新表，不覆盖 evidence 表。</w:t>
      </w:r>
    </w:p>
    <w:p>
      <w:pPr>
        <w:pStyle w:val="Heading2"/>
      </w:pPr>
      <w:r>
        <w:t>4.2 Step 1：先复核所有“会导致合并”的既有决定</w:t>
      </w:r>
    </w:p>
    <w:p>
      <w:pPr/>
      <w:r>
        <w:t>优先人工复核 308 个 terminology alias 与 35 个 provisional semantic 判定（共 343 个 merge-affecting 决定）。每项标注 accept / reject / narrower / related / uncertain，并写明一句理由。只有 accept=equivalent 的概念真正折叠。</w:t>
      </w:r>
    </w:p>
    <w:p>
      <w:pPr>
        <w:pStyle w:val="Heading2"/>
      </w:pPr>
      <w:r>
        <w:t>4.3 Step 2：为其余概念生成候选，不全对全比较</w:t>
      </w:r>
    </w:p>
    <w:tbl>
      <w:tblPr>
        <w:tblStyle w:val="TableGrid"/>
        <w:tblW w:type="auto" w:w="0"/>
        <w:jc w:val="center"/>
        <w:tblLayout w:type="autofit"/>
        <w:tblLook w:firstColumn="1" w:firstRow="1" w:lastColumn="0" w:lastRow="0" w:noHBand="0" w:noVBand="1" w:val="04A0"/>
      </w:tblPr>
      <w:tblGrid>
        <w:gridCol w:w="3194"/>
        <w:gridCol w:w="3194"/>
        <w:gridCol w:w="3194"/>
      </w:tblGrid>
      <w:tr>
        <w:trPr>
          <w:tblHeader w:val="true"/>
          <w:cantSplit/>
        </w:trPr>
        <w:tc>
          <w:tcPr>
            <w:tcW w:type="dxa" w:w="1587"/>
            <w:vAlign w:val="center"/>
            <w:shd w:fill="D9E1F2"/>
          </w:tcPr>
          <w:p>
            <w:pPr>
              <w:spacing w:after="0" w:line="240" w:lineRule="auto"/>
            </w:pPr>
            <w:r/>
            <w:r>
              <w:rPr>
                <w:rFonts w:ascii="Calibri" w:hAnsi="Calibri" w:eastAsia="Microsoft YaHei"/>
                <w:b/>
                <w:sz w:val="17"/>
              </w:rPr>
              <w:t>通道</w:t>
            </w:r>
          </w:p>
        </w:tc>
        <w:tc>
          <w:tcPr>
            <w:tcW w:type="dxa" w:w="4422"/>
            <w:vAlign w:val="center"/>
            <w:shd w:fill="D9E1F2"/>
          </w:tcPr>
          <w:p>
            <w:pPr>
              <w:spacing w:after="0" w:line="240" w:lineRule="auto"/>
            </w:pPr>
            <w:r/>
            <w:r>
              <w:rPr>
                <w:rFonts w:ascii="Calibri" w:hAnsi="Calibri" w:eastAsia="Microsoft YaHei"/>
                <w:b/>
                <w:sz w:val="17"/>
              </w:rPr>
              <w:t>候选生成方式</w:t>
            </w:r>
          </w:p>
        </w:tc>
        <w:tc>
          <w:tcPr>
            <w:tcW w:type="dxa" w:w="2551"/>
            <w:vAlign w:val="center"/>
            <w:shd w:fill="D9E1F2"/>
          </w:tcPr>
          <w:p>
            <w:pPr>
              <w:spacing w:after="0" w:line="240" w:lineRule="auto"/>
            </w:pPr>
            <w:r/>
            <w:r>
              <w:rPr>
                <w:rFonts w:ascii="Calibri" w:hAnsi="Calibri" w:eastAsia="Microsoft YaHei"/>
                <w:b/>
                <w:sz w:val="17"/>
              </w:rPr>
              <w:t>用途</w:t>
            </w:r>
          </w:p>
        </w:tc>
      </w:tr>
      <w:tr>
        <w:trPr>
          <w:cantSplit/>
        </w:trPr>
        <w:tc>
          <w:tcPr>
            <w:tcW w:type="dxa" w:w="1587"/>
            <w:vAlign w:val="center"/>
          </w:tcPr>
          <w:p>
            <w:pPr>
              <w:spacing w:after="0" w:line="240" w:lineRule="auto"/>
            </w:pPr>
            <w:r/>
            <w:r>
              <w:rPr>
                <w:rFonts w:ascii="Calibri" w:hAnsi="Calibri" w:eastAsia="Microsoft YaHei"/>
                <w:b w:val="0"/>
                <w:sz w:val="17"/>
              </w:rPr>
              <w:t>字面通道</w:t>
            </w:r>
          </w:p>
        </w:tc>
        <w:tc>
          <w:tcPr>
            <w:tcW w:type="dxa" w:w="4422"/>
            <w:vAlign w:val="center"/>
          </w:tcPr>
          <w:p>
            <w:pPr>
              <w:spacing w:after="0" w:line="240" w:lineRule="auto"/>
            </w:pPr>
            <w:r/>
            <w:r>
              <w:rPr>
                <w:rFonts w:ascii="Calibri" w:hAnsi="Calibri" w:eastAsia="Microsoft YaHei"/>
                <w:b w:val="0"/>
                <w:sz w:val="17"/>
              </w:rPr>
              <w:t>小写化、词形、化学式/缩写标准化后的 exact / near-exact match</w:t>
            </w:r>
          </w:p>
        </w:tc>
        <w:tc>
          <w:tcPr>
            <w:tcW w:type="dxa" w:w="2551"/>
            <w:vAlign w:val="center"/>
          </w:tcPr>
          <w:p>
            <w:pPr>
              <w:spacing w:after="0" w:line="240" w:lineRule="auto"/>
            </w:pPr>
            <w:r/>
            <w:r>
              <w:rPr>
                <w:rFonts w:ascii="Calibri" w:hAnsi="Calibri" w:eastAsia="Microsoft YaHei"/>
                <w:b w:val="0"/>
                <w:sz w:val="17"/>
              </w:rPr>
              <w:t>发现高置信同义词</w:t>
            </w:r>
          </w:p>
        </w:tc>
      </w:tr>
      <w:tr>
        <w:trPr>
          <w:cantSplit/>
        </w:trPr>
        <w:tc>
          <w:tcPr>
            <w:tcW w:type="dxa" w:w="1587"/>
            <w:vAlign w:val="center"/>
          </w:tcPr>
          <w:p>
            <w:pPr>
              <w:spacing w:after="0" w:line="240" w:lineRule="auto"/>
            </w:pPr>
            <w:r/>
            <w:r>
              <w:rPr>
                <w:rFonts w:ascii="Calibri" w:hAnsi="Calibri" w:eastAsia="Microsoft YaHei"/>
                <w:b w:val="0"/>
                <w:sz w:val="17"/>
              </w:rPr>
              <w:t>语义通道</w:t>
            </w:r>
          </w:p>
        </w:tc>
        <w:tc>
          <w:tcPr>
            <w:tcW w:type="dxa" w:w="4422"/>
            <w:vAlign w:val="center"/>
          </w:tcPr>
          <w:p>
            <w:pPr>
              <w:spacing w:after="0" w:line="240" w:lineRule="auto"/>
            </w:pPr>
            <w:r/>
            <w:r>
              <w:rPr>
                <w:rFonts w:ascii="Calibri" w:hAnsi="Calibri" w:eastAsia="Microsoft YaHei"/>
                <w:b w:val="0"/>
                <w:sz w:val="17"/>
              </w:rPr>
              <w:t>对 canonical label + 简短上下文编码；每个概念取同域 Top-10 近邻</w:t>
            </w:r>
          </w:p>
        </w:tc>
        <w:tc>
          <w:tcPr>
            <w:tcW w:type="dxa" w:w="2551"/>
            <w:vAlign w:val="center"/>
          </w:tcPr>
          <w:p>
            <w:pPr>
              <w:spacing w:after="0" w:line="240" w:lineRule="auto"/>
            </w:pPr>
            <w:r/>
            <w:r>
              <w:rPr>
                <w:rFonts w:ascii="Calibri" w:hAnsi="Calibri" w:eastAsia="Microsoft YaHei"/>
                <w:b w:val="0"/>
                <w:sz w:val="17"/>
              </w:rPr>
              <w:t>发现不同写法的潜在同义/上下位</w:t>
            </w:r>
          </w:p>
        </w:tc>
      </w:tr>
      <w:tr>
        <w:trPr>
          <w:cantSplit/>
        </w:trPr>
        <w:tc>
          <w:tcPr>
            <w:tcW w:type="dxa" w:w="1587"/>
            <w:vAlign w:val="center"/>
          </w:tcPr>
          <w:p>
            <w:pPr>
              <w:spacing w:after="0" w:line="240" w:lineRule="auto"/>
            </w:pPr>
            <w:r/>
            <w:r>
              <w:rPr>
                <w:rFonts w:ascii="Calibri" w:hAnsi="Calibri" w:eastAsia="Microsoft YaHei"/>
                <w:b w:val="0"/>
                <w:sz w:val="17"/>
              </w:rPr>
              <w:t>结构通道</w:t>
            </w:r>
          </w:p>
        </w:tc>
        <w:tc>
          <w:tcPr>
            <w:tcW w:type="dxa" w:w="4422"/>
            <w:vAlign w:val="center"/>
          </w:tcPr>
          <w:p>
            <w:pPr>
              <w:spacing w:after="0" w:line="240" w:lineRule="auto"/>
            </w:pPr>
            <w:r/>
            <w:r>
              <w:rPr>
                <w:rFonts w:ascii="Calibri" w:hAnsi="Calibri" w:eastAsia="Microsoft YaHei"/>
                <w:b w:val="0"/>
                <w:sz w:val="17"/>
              </w:rPr>
              <w:t>共享相似 relation / neighbor role 的概念优先配对</w:t>
            </w:r>
          </w:p>
        </w:tc>
        <w:tc>
          <w:tcPr>
            <w:tcW w:type="dxa" w:w="2551"/>
            <w:vAlign w:val="center"/>
          </w:tcPr>
          <w:p>
            <w:pPr>
              <w:spacing w:after="0" w:line="240" w:lineRule="auto"/>
            </w:pPr>
            <w:r/>
            <w:r>
              <w:rPr>
                <w:rFonts w:ascii="Calibri" w:hAnsi="Calibri" w:eastAsia="Microsoft YaHei"/>
                <w:b w:val="0"/>
                <w:sz w:val="17"/>
              </w:rPr>
              <w:t>减少纯词面相似造成的误合并</w:t>
            </w:r>
          </w:p>
        </w:tc>
      </w:tr>
      <w:tr>
        <w:trPr>
          <w:cantSplit/>
        </w:trPr>
        <w:tc>
          <w:tcPr>
            <w:tcW w:type="dxa" w:w="1587"/>
            <w:vAlign w:val="center"/>
          </w:tcPr>
          <w:p>
            <w:pPr>
              <w:spacing w:after="0" w:line="240" w:lineRule="auto"/>
            </w:pPr>
            <w:r/>
            <w:r>
              <w:rPr>
                <w:rFonts w:ascii="Calibri" w:hAnsi="Calibri" w:eastAsia="Microsoft YaHei"/>
                <w:b w:val="0"/>
                <w:sz w:val="17"/>
              </w:rPr>
              <w:t>人工补充</w:t>
            </w:r>
          </w:p>
        </w:tc>
        <w:tc>
          <w:tcPr>
            <w:tcW w:type="dxa" w:w="4422"/>
            <w:vAlign w:val="center"/>
          </w:tcPr>
          <w:p>
            <w:pPr>
              <w:spacing w:after="0" w:line="240" w:lineRule="auto"/>
            </w:pPr>
            <w:r/>
            <w:r>
              <w:rPr>
                <w:rFonts w:ascii="Calibri" w:hAnsi="Calibri" w:eastAsia="Microsoft YaHei"/>
                <w:b w:val="0"/>
                <w:sz w:val="17"/>
              </w:rPr>
              <w:t>对高频 hub、关键机制族和明显遗漏增加候选</w:t>
            </w:r>
          </w:p>
        </w:tc>
        <w:tc>
          <w:tcPr>
            <w:tcW w:type="dxa" w:w="2551"/>
            <w:vAlign w:val="center"/>
          </w:tcPr>
          <w:p>
            <w:pPr>
              <w:spacing w:after="0" w:line="240" w:lineRule="auto"/>
            </w:pPr>
            <w:r/>
            <w:r>
              <w:rPr>
                <w:rFonts w:ascii="Calibri" w:hAnsi="Calibri" w:eastAsia="Microsoft YaHei"/>
                <w:b w:val="0"/>
                <w:sz w:val="17"/>
              </w:rPr>
              <w:t>保证核心机制先稳定</w:t>
            </w:r>
          </w:p>
        </w:tc>
      </w:tr>
    </w:tbl>
    <w:p/>
    <w:p>
      <w:pPr/>
      <w:r>
        <w:t>先在域内完成 normalization；iTE 与 TG 之间不在此步直接合并概念。跨域共享概念在 Stage 4 通过独立 alignment 记录连接，保留两域身份。</w:t>
      </w:r>
    </w:p>
    <w:p>
      <w:pPr>
        <w:pStyle w:val="Heading2"/>
      </w:pPr>
      <w:r>
        <w:t>4.4 Step 3：回顾性抽取质量审计（不返工全量）</w:t>
      </w:r>
    </w:p>
    <w:tbl>
      <w:tblPr>
        <w:tblStyle w:val="TableGrid"/>
        <w:tblW w:type="auto" w:w="0"/>
        <w:jc w:val="center"/>
        <w:tblLayout w:type="autofit"/>
        <w:tblLook w:firstColumn="1" w:firstRow="1" w:lastColumn="0" w:lastRow="0" w:noHBand="0" w:noVBand="1" w:val="04A0"/>
      </w:tblPr>
      <w:tblGrid>
        <w:gridCol w:w="3194"/>
        <w:gridCol w:w="3194"/>
        <w:gridCol w:w="3194"/>
      </w:tblGrid>
      <w:tr>
        <w:trPr>
          <w:tblHeader w:val="true"/>
          <w:cantSplit/>
        </w:trPr>
        <w:tc>
          <w:tcPr>
            <w:tcW w:type="dxa" w:w="1871"/>
            <w:vAlign w:val="center"/>
            <w:shd w:fill="D9E1F2"/>
          </w:tcPr>
          <w:p>
            <w:pPr>
              <w:spacing w:after="0" w:line="240" w:lineRule="auto"/>
            </w:pPr>
            <w:r/>
            <w:r>
              <w:rPr>
                <w:rFonts w:ascii="Calibri" w:hAnsi="Calibri" w:eastAsia="Microsoft YaHei"/>
                <w:b/>
                <w:sz w:val="17"/>
              </w:rPr>
              <w:t>审计对象</w:t>
            </w:r>
          </w:p>
        </w:tc>
        <w:tc>
          <w:tcPr>
            <w:tcW w:type="dxa" w:w="3175"/>
            <w:vAlign w:val="center"/>
            <w:shd w:fill="D9E1F2"/>
          </w:tcPr>
          <w:p>
            <w:pPr>
              <w:spacing w:after="0" w:line="240" w:lineRule="auto"/>
            </w:pPr>
            <w:r/>
            <w:r>
              <w:rPr>
                <w:rFonts w:ascii="Calibri" w:hAnsi="Calibri" w:eastAsia="Microsoft YaHei"/>
                <w:b/>
                <w:sz w:val="17"/>
              </w:rPr>
              <w:t>默认样本</w:t>
            </w:r>
          </w:p>
        </w:tc>
        <w:tc>
          <w:tcPr>
            <w:tcW w:type="dxa" w:w="3458"/>
            <w:vAlign w:val="center"/>
            <w:shd w:fill="D9E1F2"/>
          </w:tcPr>
          <w:p>
            <w:pPr>
              <w:spacing w:after="0" w:line="240" w:lineRule="auto"/>
            </w:pPr>
            <w:r/>
            <w:r>
              <w:rPr>
                <w:rFonts w:ascii="Calibri" w:hAnsi="Calibri" w:eastAsia="Microsoft YaHei"/>
                <w:b/>
                <w:sz w:val="17"/>
              </w:rPr>
              <w:t>判定</w:t>
            </w:r>
          </w:p>
        </w:tc>
      </w:tr>
      <w:tr>
        <w:trPr>
          <w:cantSplit/>
        </w:trPr>
        <w:tc>
          <w:tcPr>
            <w:tcW w:type="dxa" w:w="1871"/>
            <w:vAlign w:val="center"/>
          </w:tcPr>
          <w:p>
            <w:pPr>
              <w:spacing w:after="0" w:line="240" w:lineRule="auto"/>
            </w:pPr>
            <w:r/>
            <w:r>
              <w:rPr>
                <w:rFonts w:ascii="Calibri" w:hAnsi="Calibri" w:eastAsia="Microsoft YaHei"/>
                <w:b w:val="0"/>
                <w:sz w:val="17"/>
              </w:rPr>
              <w:t>关系精确率</w:t>
            </w:r>
          </w:p>
        </w:tc>
        <w:tc>
          <w:tcPr>
            <w:tcW w:type="dxa" w:w="3175"/>
            <w:vAlign w:val="center"/>
          </w:tcPr>
          <w:p>
            <w:pPr>
              <w:spacing w:after="0" w:line="240" w:lineRule="auto"/>
            </w:pPr>
            <w:r/>
            <w:r>
              <w:rPr>
                <w:rFonts w:ascii="Calibri" w:hAnsi="Calibri" w:eastAsia="Microsoft YaHei"/>
                <w:b w:val="0"/>
                <w:sz w:val="17"/>
              </w:rPr>
              <w:t>iTE 100 条 + TG 100 条，按 claim_type、年份、关系复杂度分层</w:t>
            </w:r>
          </w:p>
        </w:tc>
        <w:tc>
          <w:tcPr>
            <w:tcW w:type="dxa" w:w="3458"/>
            <w:vAlign w:val="center"/>
          </w:tcPr>
          <w:p>
            <w:pPr>
              <w:spacing w:after="0" w:line="240" w:lineRule="auto"/>
            </w:pPr>
            <w:r/>
            <w:r>
              <w:rPr>
                <w:rFonts w:ascii="Calibri" w:hAnsi="Calibri" w:eastAsia="Microsoft YaHei"/>
                <w:b w:val="0"/>
                <w:sz w:val="17"/>
              </w:rPr>
              <w:t>主体、谓词、客体、方向和引用均由原文支持才算正确</w:t>
            </w:r>
          </w:p>
        </w:tc>
      </w:tr>
      <w:tr>
        <w:trPr>
          <w:cantSplit/>
        </w:trPr>
        <w:tc>
          <w:tcPr>
            <w:tcW w:type="dxa" w:w="1871"/>
            <w:vAlign w:val="center"/>
          </w:tcPr>
          <w:p>
            <w:pPr>
              <w:spacing w:after="0" w:line="240" w:lineRule="auto"/>
            </w:pPr>
            <w:r/>
            <w:r>
              <w:rPr>
                <w:rFonts w:ascii="Calibri" w:hAnsi="Calibri" w:eastAsia="Microsoft YaHei"/>
                <w:b w:val="0"/>
                <w:sz w:val="17"/>
              </w:rPr>
              <w:t>摘要级召回率</w:t>
            </w:r>
          </w:p>
        </w:tc>
        <w:tc>
          <w:tcPr>
            <w:tcW w:type="dxa" w:w="3175"/>
            <w:vAlign w:val="center"/>
          </w:tcPr>
          <w:p>
            <w:pPr>
              <w:spacing w:after="0" w:line="240" w:lineRule="auto"/>
            </w:pPr>
            <w:r/>
            <w:r>
              <w:rPr>
                <w:rFonts w:ascii="Calibri" w:hAnsi="Calibri" w:eastAsia="Microsoft YaHei"/>
                <w:b w:val="0"/>
                <w:sz w:val="17"/>
              </w:rPr>
              <w:t>iTE 30 篇 + TG 30 篇，由研究者按“核心陈述”同一范围做穷尽标注</w:t>
            </w:r>
          </w:p>
        </w:tc>
        <w:tc>
          <w:tcPr>
            <w:tcW w:type="dxa" w:w="3458"/>
            <w:vAlign w:val="center"/>
          </w:tcPr>
          <w:p>
            <w:pPr>
              <w:spacing w:after="0" w:line="240" w:lineRule="auto"/>
            </w:pPr>
            <w:r/>
            <w:r>
              <w:rPr>
                <w:rFonts w:ascii="Calibri" w:hAnsi="Calibri" w:eastAsia="Microsoft YaHei"/>
                <w:b w:val="0"/>
                <w:sz w:val="17"/>
              </w:rPr>
              <w:t>计算模型已保存核心关系/人工核心关系</w:t>
            </w:r>
          </w:p>
        </w:tc>
      </w:tr>
      <w:tr>
        <w:trPr>
          <w:cantSplit/>
        </w:trPr>
        <w:tc>
          <w:tcPr>
            <w:tcW w:type="dxa" w:w="1871"/>
            <w:vAlign w:val="center"/>
          </w:tcPr>
          <w:p>
            <w:pPr>
              <w:spacing w:after="0" w:line="240" w:lineRule="auto"/>
            </w:pPr>
            <w:r/>
            <w:r>
              <w:rPr>
                <w:rFonts w:ascii="Calibri" w:hAnsi="Calibri" w:eastAsia="Microsoft YaHei"/>
                <w:b w:val="0"/>
                <w:sz w:val="17"/>
              </w:rPr>
              <w:t>挑战集</w:t>
            </w:r>
          </w:p>
        </w:tc>
        <w:tc>
          <w:tcPr>
            <w:tcW w:type="dxa" w:w="3175"/>
            <w:vAlign w:val="center"/>
          </w:tcPr>
          <w:p>
            <w:pPr>
              <w:spacing w:after="0" w:line="240" w:lineRule="auto"/>
            </w:pPr>
            <w:r/>
            <w:r>
              <w:rPr>
                <w:rFonts w:ascii="Calibri" w:hAnsi="Calibri" w:eastAsia="Microsoft YaHei"/>
                <w:b w:val="0"/>
                <w:sz w:val="17"/>
              </w:rPr>
              <w:t>约 50 条：否定、推测、跨句、协同、多机制、条件冲突</w:t>
            </w:r>
          </w:p>
        </w:tc>
        <w:tc>
          <w:tcPr>
            <w:tcW w:type="dxa" w:w="3458"/>
            <w:vAlign w:val="center"/>
          </w:tcPr>
          <w:p>
            <w:pPr>
              <w:spacing w:after="0" w:line="240" w:lineRule="auto"/>
            </w:pPr>
            <w:r/>
            <w:r>
              <w:rPr>
                <w:rFonts w:ascii="Calibri" w:hAnsi="Calibri" w:eastAsia="Microsoft YaHei"/>
                <w:b w:val="0"/>
                <w:sz w:val="17"/>
              </w:rPr>
              <w:t>重点检查反向关系、虚构节点和过度因果化</w:t>
            </w:r>
          </w:p>
        </w:tc>
      </w:tr>
      <w:tr>
        <w:trPr>
          <w:cantSplit/>
        </w:trPr>
        <w:tc>
          <w:tcPr>
            <w:tcW w:type="dxa" w:w="1871"/>
            <w:vAlign w:val="center"/>
          </w:tcPr>
          <w:p>
            <w:pPr>
              <w:spacing w:after="0" w:line="240" w:lineRule="auto"/>
            </w:pPr>
            <w:r/>
            <w:r>
              <w:rPr>
                <w:rFonts w:ascii="Calibri" w:hAnsi="Calibri" w:eastAsia="Microsoft YaHei"/>
                <w:b w:val="0"/>
                <w:sz w:val="17"/>
              </w:rPr>
              <w:t>归一化准确性</w:t>
            </w:r>
          </w:p>
        </w:tc>
        <w:tc>
          <w:tcPr>
            <w:tcW w:type="dxa" w:w="3175"/>
            <w:vAlign w:val="center"/>
          </w:tcPr>
          <w:p>
            <w:pPr>
              <w:spacing w:after="0" w:line="240" w:lineRule="auto"/>
            </w:pPr>
            <w:r/>
            <w:r>
              <w:rPr>
                <w:rFonts w:ascii="Calibri" w:hAnsi="Calibri" w:eastAsia="Microsoft YaHei"/>
                <w:b w:val="0"/>
                <w:sz w:val="17"/>
              </w:rPr>
              <w:t>全部 343 个既有 merge-affecting 决定 + 新增高频合并候选</w:t>
            </w:r>
          </w:p>
        </w:tc>
        <w:tc>
          <w:tcPr>
            <w:tcW w:type="dxa" w:w="3458"/>
            <w:vAlign w:val="center"/>
          </w:tcPr>
          <w:p>
            <w:pPr>
              <w:spacing w:after="0" w:line="240" w:lineRule="auto"/>
            </w:pPr>
            <w:r/>
            <w:r>
              <w:rPr>
                <w:rFonts w:ascii="Calibri" w:hAnsi="Calibri" w:eastAsia="Microsoft YaHei"/>
                <w:b w:val="0"/>
                <w:sz w:val="17"/>
              </w:rPr>
              <w:t>错误合并优先级高于漏合并</w:t>
            </w:r>
          </w:p>
        </w:tc>
      </w:tr>
    </w:tbl>
    <w:p/>
    <w:p>
      <w:pPr/>
      <w:r>
        <w:t>阶段门槛沿用保守原则：两域严格关系精确率目标约 90%，核心关系召回率目标约 70%；所有引文定位必须通过。若未达到门槛，只重做错误集中的批次/关系类型，并保留修订日志，不自动重跑 1,971 篇。</w:t>
      </w:r>
    </w:p>
    <w:p>
      <w:pPr>
        <w:pStyle w:val="Heading2"/>
      </w:pPr>
      <w:r>
        <w:t>4.5 Stage 2 交付</w:t>
      </w:r>
    </w:p>
    <w:p>
      <w:pPr>
        <w:ind w:left="312" w:hanging="170"/>
      </w:pPr>
      <w:r>
        <w:t>• concepts_v2.csv：概念节点、semantic_role、域、频次、审核状态。</w:t>
      </w:r>
    </w:p>
    <w:p>
      <w:pPr>
        <w:ind w:left="312" w:hanging="170"/>
      </w:pPr>
      <w:r>
        <w:t>• concept_relations_v2.csv：equivalent/narrower/related/distinct/uncertain 概念关系。</w:t>
      </w:r>
    </w:p>
    <w:p>
      <w:pPr>
        <w:ind w:left="312" w:hanging="170"/>
      </w:pPr>
      <w:r>
        <w:t>• normalization_assignments_v2.csv：每个 raw mention 到 concept_v2 的映射及理由。</w:t>
      </w:r>
    </w:p>
    <w:p>
      <w:pPr>
        <w:ind w:left="312" w:hanging="170"/>
      </w:pPr>
      <w:r>
        <w:t>• extraction_audit_v2.csv / normalization_audit_v2.csv：人工审计与错误类型。</w:t>
      </w:r>
    </w:p>
    <w:p>
      <w:pPr>
        <w:ind w:left="312" w:hanging="170"/>
      </w:pPr>
      <w:r>
        <w:t>• quality_report_v2.md/json：精确率、召回率、归一化错误率及分域结果。</w:t>
      </w:r>
    </w:p>
    <w:p>
      <w:pPr>
        <w:pStyle w:val="Heading1"/>
      </w:pPr>
      <w:r>
        <w:t>5 Stage 3：分别构建 iTE 与 TG 域内机制图谱</w:t>
      </w:r>
    </w:p>
    <w:p>
      <w:pPr>
        <w:pStyle w:val="Heading2"/>
      </w:pPr>
      <w:r>
        <w:t>5.1 三层图结构</w:t>
      </w:r>
    </w:p>
    <w:tbl>
      <w:tblPr>
        <w:tblStyle w:val="TableGrid"/>
        <w:tblW w:type="auto" w:w="0"/>
        <w:jc w:val="center"/>
        <w:tblLayout w:type="autofit"/>
        <w:tblLook w:firstColumn="1" w:firstRow="1" w:lastColumn="0" w:lastRow="0" w:noHBand="0" w:noVBand="1" w:val="04A0"/>
      </w:tblPr>
      <w:tblGrid>
        <w:gridCol w:w="3194"/>
        <w:gridCol w:w="3194"/>
        <w:gridCol w:w="3194"/>
      </w:tblGrid>
      <w:tr>
        <w:trPr>
          <w:tblHeader w:val="true"/>
          <w:cantSplit/>
        </w:trPr>
        <w:tc>
          <w:tcPr>
            <w:tcW w:type="dxa" w:w="1871"/>
            <w:vAlign w:val="center"/>
            <w:shd w:fill="D9E1F2"/>
          </w:tcPr>
          <w:p>
            <w:pPr>
              <w:spacing w:after="0" w:line="240" w:lineRule="auto"/>
            </w:pPr>
            <w:r/>
            <w:r>
              <w:rPr>
                <w:rFonts w:ascii="Calibri" w:hAnsi="Calibri" w:eastAsia="Microsoft YaHei"/>
                <w:b/>
                <w:sz w:val="17"/>
              </w:rPr>
              <w:t>图层</w:t>
            </w:r>
          </w:p>
        </w:tc>
        <w:tc>
          <w:tcPr>
            <w:tcW w:type="dxa" w:w="3402"/>
            <w:vAlign w:val="center"/>
            <w:shd w:fill="D9E1F2"/>
          </w:tcPr>
          <w:p>
            <w:pPr>
              <w:spacing w:after="0" w:line="240" w:lineRule="auto"/>
            </w:pPr>
            <w:r/>
            <w:r>
              <w:rPr>
                <w:rFonts w:ascii="Calibri" w:hAnsi="Calibri" w:eastAsia="Microsoft YaHei"/>
                <w:b/>
                <w:sz w:val="17"/>
              </w:rPr>
              <w:t>节点/边</w:t>
            </w:r>
          </w:p>
        </w:tc>
        <w:tc>
          <w:tcPr>
            <w:tcW w:type="dxa" w:w="3231"/>
            <w:vAlign w:val="center"/>
            <w:shd w:fill="D9E1F2"/>
          </w:tcPr>
          <w:p>
            <w:pPr>
              <w:spacing w:after="0" w:line="240" w:lineRule="auto"/>
            </w:pPr>
            <w:r/>
            <w:r>
              <w:rPr>
                <w:rFonts w:ascii="Calibri" w:hAnsi="Calibri" w:eastAsia="Microsoft YaHei"/>
                <w:b/>
                <w:sz w:val="17"/>
              </w:rPr>
              <w:t>用途</w:t>
            </w:r>
          </w:p>
        </w:tc>
      </w:tr>
      <w:tr>
        <w:trPr>
          <w:cantSplit/>
        </w:trPr>
        <w:tc>
          <w:tcPr>
            <w:tcW w:type="dxa" w:w="1871"/>
            <w:vAlign w:val="center"/>
          </w:tcPr>
          <w:p>
            <w:pPr>
              <w:spacing w:after="0" w:line="240" w:lineRule="auto"/>
            </w:pPr>
            <w:r/>
            <w:r>
              <w:rPr>
                <w:rFonts w:ascii="Calibri" w:hAnsi="Calibri" w:eastAsia="Microsoft YaHei"/>
                <w:b w:val="0"/>
                <w:sz w:val="17"/>
              </w:rPr>
              <w:t>Evidence graph</w:t>
            </w:r>
          </w:p>
        </w:tc>
        <w:tc>
          <w:tcPr>
            <w:tcW w:type="dxa" w:w="3402"/>
            <w:vAlign w:val="center"/>
          </w:tcPr>
          <w:p>
            <w:pPr>
              <w:spacing w:after="0" w:line="240" w:lineRule="auto"/>
            </w:pPr>
            <w:r/>
            <w:r>
              <w:rPr>
                <w:rFonts w:ascii="Calibri" w:hAnsi="Calibri" w:eastAsia="Microsoft YaHei"/>
                <w:b w:val="0"/>
                <w:sz w:val="17"/>
              </w:rPr>
              <w:t>论文、raw mention、原始关系、quote</w:t>
            </w:r>
          </w:p>
        </w:tc>
        <w:tc>
          <w:tcPr>
            <w:tcW w:type="dxa" w:w="3231"/>
            <w:vAlign w:val="center"/>
          </w:tcPr>
          <w:p>
            <w:pPr>
              <w:spacing w:after="0" w:line="240" w:lineRule="auto"/>
            </w:pPr>
            <w:r/>
            <w:r>
              <w:rPr>
                <w:rFonts w:ascii="Calibri" w:hAnsi="Calibri" w:eastAsia="Microsoft YaHei"/>
                <w:b w:val="0"/>
                <w:sz w:val="17"/>
              </w:rPr>
              <w:t>逐条追溯与人工核查；不用于直接合并统计</w:t>
            </w:r>
          </w:p>
        </w:tc>
      </w:tr>
      <w:tr>
        <w:trPr>
          <w:cantSplit/>
        </w:trPr>
        <w:tc>
          <w:tcPr>
            <w:tcW w:type="dxa" w:w="1871"/>
            <w:vAlign w:val="center"/>
          </w:tcPr>
          <w:p>
            <w:pPr>
              <w:spacing w:after="0" w:line="240" w:lineRule="auto"/>
            </w:pPr>
            <w:r/>
            <w:r>
              <w:rPr>
                <w:rFonts w:ascii="Calibri" w:hAnsi="Calibri" w:eastAsia="Microsoft YaHei"/>
                <w:b w:val="0"/>
                <w:sz w:val="17"/>
              </w:rPr>
              <w:t>Concept graph</w:t>
            </w:r>
          </w:p>
        </w:tc>
        <w:tc>
          <w:tcPr>
            <w:tcW w:type="dxa" w:w="3402"/>
            <w:vAlign w:val="center"/>
          </w:tcPr>
          <w:p>
            <w:pPr>
              <w:spacing w:after="0" w:line="240" w:lineRule="auto"/>
            </w:pPr>
            <w:r/>
            <w:r>
              <w:rPr>
                <w:rFonts w:ascii="Calibri" w:hAnsi="Calibri" w:eastAsia="Microsoft YaHei"/>
                <w:b w:val="0"/>
                <w:sz w:val="17"/>
              </w:rPr>
              <w:t>concept_v2 + 概念层级/等价/相关关系</w:t>
            </w:r>
          </w:p>
        </w:tc>
        <w:tc>
          <w:tcPr>
            <w:tcW w:type="dxa" w:w="3231"/>
            <w:vAlign w:val="center"/>
          </w:tcPr>
          <w:p>
            <w:pPr>
              <w:spacing w:after="0" w:line="240" w:lineRule="auto"/>
            </w:pPr>
            <w:r/>
            <w:r>
              <w:rPr>
                <w:rFonts w:ascii="Calibri" w:hAnsi="Calibri" w:eastAsia="Microsoft YaHei"/>
                <w:b w:val="0"/>
                <w:sz w:val="17"/>
              </w:rPr>
              <w:t>同义统一、粒度分析与概念导航</w:t>
            </w:r>
          </w:p>
        </w:tc>
      </w:tr>
      <w:tr>
        <w:trPr>
          <w:cantSplit/>
        </w:trPr>
        <w:tc>
          <w:tcPr>
            <w:tcW w:type="dxa" w:w="1871"/>
            <w:vAlign w:val="center"/>
          </w:tcPr>
          <w:p>
            <w:pPr>
              <w:spacing w:after="0" w:line="240" w:lineRule="auto"/>
            </w:pPr>
            <w:r/>
            <w:r>
              <w:rPr>
                <w:rFonts w:ascii="Calibri" w:hAnsi="Calibri" w:eastAsia="Microsoft YaHei"/>
                <w:b w:val="0"/>
                <w:sz w:val="17"/>
              </w:rPr>
              <w:t>Mechanism landscape graph</w:t>
            </w:r>
          </w:p>
        </w:tc>
        <w:tc>
          <w:tcPr>
            <w:tcW w:type="dxa" w:w="3402"/>
            <w:vAlign w:val="center"/>
          </w:tcPr>
          <w:p>
            <w:pPr>
              <w:spacing w:after="0" w:line="240" w:lineRule="auto"/>
            </w:pPr>
            <w:r/>
            <w:r>
              <w:rPr>
                <w:rFonts w:ascii="Calibri" w:hAnsi="Calibri" w:eastAsia="Microsoft YaHei"/>
                <w:b w:val="0"/>
                <w:sz w:val="17"/>
              </w:rPr>
              <w:t>经审核概念与聚合科学关系；边权=独立论文支持数</w:t>
            </w:r>
          </w:p>
        </w:tc>
        <w:tc>
          <w:tcPr>
            <w:tcW w:type="dxa" w:w="3231"/>
            <w:vAlign w:val="center"/>
          </w:tcPr>
          <w:p>
            <w:pPr>
              <w:spacing w:after="0" w:line="240" w:lineRule="auto"/>
            </w:pPr>
            <w:r/>
            <w:r>
              <w:rPr>
                <w:rFonts w:ascii="Calibri" w:hAnsi="Calibri" w:eastAsia="Microsoft YaHei"/>
                <w:b w:val="0"/>
                <w:sz w:val="17"/>
              </w:rPr>
              <w:t>域内机制结构、社区、时间演化与 motif 分析</w:t>
            </w:r>
          </w:p>
        </w:tc>
      </w:tr>
    </w:tbl>
    <w:p/>
    <w:p>
      <w:pPr>
        <w:pStyle w:val="Heading2"/>
      </w:pPr>
      <w:r>
        <w:t>5.2 分析范围字段</w:t>
      </w:r>
    </w:p>
    <w:p>
      <w:pPr/>
      <w:r>
        <w:t>当前语料故意未删除相邻领域、综述、腐蚀、传感、TREC/电池、热管理等论文，因此建主机制图时必须记录 analysis_scope，而不是再次删除论文。</w:t>
      </w:r>
    </w:p>
    <w:tbl>
      <w:tblPr>
        <w:tblStyle w:val="TableGrid"/>
        <w:tblW w:type="auto" w:w="0"/>
        <w:jc w:val="center"/>
        <w:tblLayout w:type="autofit"/>
        <w:tblLook w:firstColumn="1" w:firstRow="1" w:lastColumn="0" w:lastRow="0" w:noHBand="0" w:noVBand="1" w:val="04A0"/>
      </w:tblPr>
      <w:tblGrid>
        <w:gridCol w:w="4791"/>
        <w:gridCol w:w="4791"/>
      </w:tblGrid>
      <w:tr>
        <w:trPr>
          <w:tblHeader w:val="true"/>
          <w:cantSplit/>
        </w:trPr>
        <w:tc>
          <w:tcPr>
            <w:tcW w:type="dxa" w:w="2835"/>
            <w:vAlign w:val="center"/>
            <w:shd w:fill="D9E1F2"/>
          </w:tcPr>
          <w:p>
            <w:pPr>
              <w:spacing w:after="0" w:line="240" w:lineRule="auto"/>
            </w:pPr>
            <w:r/>
            <w:r>
              <w:rPr>
                <w:rFonts w:ascii="Calibri" w:hAnsi="Calibri" w:eastAsia="Microsoft YaHei"/>
                <w:b/>
                <w:sz w:val="17"/>
              </w:rPr>
              <w:t>analysis_scope</w:t>
            </w:r>
          </w:p>
        </w:tc>
        <w:tc>
          <w:tcPr>
            <w:tcW w:type="dxa" w:w="5669"/>
            <w:vAlign w:val="center"/>
            <w:shd w:fill="D9E1F2"/>
          </w:tcPr>
          <w:p>
            <w:pPr>
              <w:spacing w:after="0" w:line="240" w:lineRule="auto"/>
            </w:pPr>
            <w:r/>
            <w:r>
              <w:rPr>
                <w:rFonts w:ascii="Calibri" w:hAnsi="Calibri" w:eastAsia="Microsoft YaHei"/>
                <w:b/>
                <w:sz w:val="17"/>
              </w:rPr>
              <w:t>在主机制图中的默认处理</w:t>
            </w:r>
          </w:p>
        </w:tc>
      </w:tr>
      <w:tr>
        <w:trPr>
          <w:cantSplit/>
        </w:trPr>
        <w:tc>
          <w:tcPr>
            <w:tcW w:type="dxa" w:w="2835"/>
            <w:vAlign w:val="center"/>
          </w:tcPr>
          <w:p>
            <w:pPr>
              <w:spacing w:after="0" w:line="240" w:lineRule="auto"/>
            </w:pPr>
            <w:r/>
            <w:r>
              <w:rPr>
                <w:rFonts w:ascii="Calibri" w:hAnsi="Calibri" w:eastAsia="Microsoft YaHei"/>
                <w:b w:val="0"/>
                <w:sz w:val="17"/>
              </w:rPr>
              <w:t>intrinsic_material_mechanism</w:t>
            </w:r>
          </w:p>
        </w:tc>
        <w:tc>
          <w:tcPr>
            <w:tcW w:type="dxa" w:w="5669"/>
            <w:vAlign w:val="center"/>
          </w:tcPr>
          <w:p>
            <w:pPr>
              <w:spacing w:after="0" w:line="240" w:lineRule="auto"/>
            </w:pPr>
            <w:r/>
            <w:r>
              <w:rPr>
                <w:rFonts w:ascii="Calibri" w:hAnsi="Calibri" w:eastAsia="Microsoft YaHei"/>
                <w:b w:val="0"/>
                <w:sz w:val="17"/>
              </w:rPr>
              <w:t>纳入主图</w:t>
            </w:r>
          </w:p>
        </w:tc>
      </w:tr>
      <w:tr>
        <w:trPr>
          <w:cantSplit/>
        </w:trPr>
        <w:tc>
          <w:tcPr>
            <w:tcW w:type="dxa" w:w="2835"/>
            <w:vAlign w:val="center"/>
          </w:tcPr>
          <w:p>
            <w:pPr>
              <w:spacing w:after="0" w:line="240" w:lineRule="auto"/>
            </w:pPr>
            <w:r/>
            <w:r>
              <w:rPr>
                <w:rFonts w:ascii="Calibri" w:hAnsi="Calibri" w:eastAsia="Microsoft YaHei"/>
                <w:b w:val="0"/>
                <w:sz w:val="17"/>
              </w:rPr>
              <w:t>thermodynamics</w:t>
            </w:r>
          </w:p>
        </w:tc>
        <w:tc>
          <w:tcPr>
            <w:tcW w:type="dxa" w:w="5669"/>
            <w:vAlign w:val="center"/>
          </w:tcPr>
          <w:p>
            <w:pPr>
              <w:spacing w:after="0" w:line="240" w:lineRule="auto"/>
            </w:pPr>
            <w:r/>
            <w:r>
              <w:rPr>
                <w:rFonts w:ascii="Calibri" w:hAnsi="Calibri" w:eastAsia="Microsoft YaHei"/>
                <w:b w:val="0"/>
                <w:sz w:val="17"/>
              </w:rPr>
              <w:t>纳入主图</w:t>
            </w:r>
          </w:p>
        </w:tc>
      </w:tr>
      <w:tr>
        <w:trPr>
          <w:cantSplit/>
        </w:trPr>
        <w:tc>
          <w:tcPr>
            <w:tcW w:type="dxa" w:w="2835"/>
            <w:vAlign w:val="center"/>
          </w:tcPr>
          <w:p>
            <w:pPr>
              <w:spacing w:after="0" w:line="240" w:lineRule="auto"/>
            </w:pPr>
            <w:r/>
            <w:r>
              <w:rPr>
                <w:rFonts w:ascii="Calibri" w:hAnsi="Calibri" w:eastAsia="Microsoft YaHei"/>
                <w:b w:val="0"/>
                <w:sz w:val="17"/>
              </w:rPr>
              <w:t>ion_mass_transport</w:t>
            </w:r>
          </w:p>
        </w:tc>
        <w:tc>
          <w:tcPr>
            <w:tcW w:type="dxa" w:w="5669"/>
            <w:vAlign w:val="center"/>
          </w:tcPr>
          <w:p>
            <w:pPr>
              <w:spacing w:after="0" w:line="240" w:lineRule="auto"/>
            </w:pPr>
            <w:r/>
            <w:r>
              <w:rPr>
                <w:rFonts w:ascii="Calibri" w:hAnsi="Calibri" w:eastAsia="Microsoft YaHei"/>
                <w:b w:val="0"/>
                <w:sz w:val="17"/>
              </w:rPr>
              <w:t>纳入主图</w:t>
            </w:r>
          </w:p>
        </w:tc>
      </w:tr>
      <w:tr>
        <w:trPr>
          <w:cantSplit/>
        </w:trPr>
        <w:tc>
          <w:tcPr>
            <w:tcW w:type="dxa" w:w="2835"/>
            <w:vAlign w:val="center"/>
          </w:tcPr>
          <w:p>
            <w:pPr>
              <w:spacing w:after="0" w:line="240" w:lineRule="auto"/>
            </w:pPr>
            <w:r/>
            <w:r>
              <w:rPr>
                <w:rFonts w:ascii="Calibri" w:hAnsi="Calibri" w:eastAsia="Microsoft YaHei"/>
                <w:b w:val="0"/>
                <w:sz w:val="17"/>
              </w:rPr>
              <w:t>electrode_interface_kinetics</w:t>
            </w:r>
          </w:p>
        </w:tc>
        <w:tc>
          <w:tcPr>
            <w:tcW w:type="dxa" w:w="5669"/>
            <w:vAlign w:val="center"/>
          </w:tcPr>
          <w:p>
            <w:pPr>
              <w:spacing w:after="0" w:line="240" w:lineRule="auto"/>
            </w:pPr>
            <w:r/>
            <w:r>
              <w:rPr>
                <w:rFonts w:ascii="Calibri" w:hAnsi="Calibri" w:eastAsia="Microsoft YaHei"/>
                <w:b w:val="0"/>
                <w:sz w:val="17"/>
              </w:rPr>
              <w:t>纳入主图，但与体相机制区分</w:t>
            </w:r>
          </w:p>
        </w:tc>
      </w:tr>
      <w:tr>
        <w:trPr>
          <w:cantSplit/>
        </w:trPr>
        <w:tc>
          <w:tcPr>
            <w:tcW w:type="dxa" w:w="2835"/>
            <w:vAlign w:val="center"/>
          </w:tcPr>
          <w:p>
            <w:pPr>
              <w:spacing w:after="0" w:line="240" w:lineRule="auto"/>
            </w:pPr>
            <w:r/>
            <w:r>
              <w:rPr>
                <w:rFonts w:ascii="Calibri" w:hAnsi="Calibri" w:eastAsia="Microsoft YaHei"/>
                <w:b w:val="0"/>
                <w:sz w:val="17"/>
              </w:rPr>
              <w:t>device_thermal_management</w:t>
            </w:r>
          </w:p>
        </w:tc>
        <w:tc>
          <w:tcPr>
            <w:tcW w:type="dxa" w:w="5669"/>
            <w:vAlign w:val="center"/>
          </w:tcPr>
          <w:p>
            <w:pPr>
              <w:spacing w:after="0" w:line="240" w:lineRule="auto"/>
            </w:pPr>
            <w:r/>
            <w:r>
              <w:rPr>
                <w:rFonts w:ascii="Calibri" w:hAnsi="Calibri" w:eastAsia="Microsoft YaHei"/>
                <w:b w:val="0"/>
                <w:sz w:val="17"/>
              </w:rPr>
              <w:t>作为外围层，单独分析</w:t>
            </w:r>
          </w:p>
        </w:tc>
      </w:tr>
      <w:tr>
        <w:trPr>
          <w:cantSplit/>
        </w:trPr>
        <w:tc>
          <w:tcPr>
            <w:tcW w:type="dxa" w:w="2835"/>
            <w:vAlign w:val="center"/>
          </w:tcPr>
          <w:p>
            <w:pPr>
              <w:spacing w:after="0" w:line="240" w:lineRule="auto"/>
            </w:pPr>
            <w:r/>
            <w:r>
              <w:rPr>
                <w:rFonts w:ascii="Calibri" w:hAnsi="Calibri" w:eastAsia="Microsoft YaHei"/>
                <w:b w:val="0"/>
                <w:sz w:val="17"/>
              </w:rPr>
              <w:t>mechanical_environmental_stability</w:t>
            </w:r>
          </w:p>
        </w:tc>
        <w:tc>
          <w:tcPr>
            <w:tcW w:type="dxa" w:w="5669"/>
            <w:vAlign w:val="center"/>
          </w:tcPr>
          <w:p>
            <w:pPr>
              <w:spacing w:after="0" w:line="240" w:lineRule="auto"/>
            </w:pPr>
            <w:r/>
            <w:r>
              <w:rPr>
                <w:rFonts w:ascii="Calibri" w:hAnsi="Calibri" w:eastAsia="Microsoft YaHei"/>
                <w:b w:val="0"/>
                <w:sz w:val="17"/>
              </w:rPr>
              <w:t>作为外围层，避免误连到 Seebeck</w:t>
            </w:r>
          </w:p>
        </w:tc>
      </w:tr>
      <w:tr>
        <w:trPr>
          <w:cantSplit/>
        </w:trPr>
        <w:tc>
          <w:tcPr>
            <w:tcW w:type="dxa" w:w="2835"/>
            <w:vAlign w:val="center"/>
          </w:tcPr>
          <w:p>
            <w:pPr>
              <w:spacing w:after="0" w:line="240" w:lineRule="auto"/>
            </w:pPr>
            <w:r/>
            <w:r>
              <w:rPr>
                <w:rFonts w:ascii="Calibri" w:hAnsi="Calibri" w:eastAsia="Microsoft YaHei"/>
                <w:b w:val="0"/>
                <w:sz w:val="17"/>
              </w:rPr>
              <w:t>application_sensing</w:t>
            </w:r>
          </w:p>
        </w:tc>
        <w:tc>
          <w:tcPr>
            <w:tcW w:type="dxa" w:w="5669"/>
            <w:vAlign w:val="center"/>
          </w:tcPr>
          <w:p>
            <w:pPr>
              <w:spacing w:after="0" w:line="240" w:lineRule="auto"/>
            </w:pPr>
            <w:r/>
            <w:r>
              <w:rPr>
                <w:rFonts w:ascii="Calibri" w:hAnsi="Calibri" w:eastAsia="Microsoft YaHei"/>
                <w:b w:val="0"/>
                <w:sz w:val="17"/>
              </w:rPr>
              <w:t>外围层/应用图，不进入材料机制中心性统计</w:t>
            </w:r>
          </w:p>
        </w:tc>
      </w:tr>
      <w:tr>
        <w:trPr>
          <w:cantSplit/>
        </w:trPr>
        <w:tc>
          <w:tcPr>
            <w:tcW w:type="dxa" w:w="2835"/>
            <w:vAlign w:val="center"/>
          </w:tcPr>
          <w:p>
            <w:pPr>
              <w:spacing w:after="0" w:line="240" w:lineRule="auto"/>
            </w:pPr>
            <w:r/>
            <w:r>
              <w:rPr>
                <w:rFonts w:ascii="Calibri" w:hAnsi="Calibri" w:eastAsia="Microsoft YaHei"/>
                <w:b w:val="0"/>
                <w:sz w:val="17"/>
              </w:rPr>
              <w:t>measurement_method_model</w:t>
            </w:r>
          </w:p>
        </w:tc>
        <w:tc>
          <w:tcPr>
            <w:tcW w:type="dxa" w:w="5669"/>
            <w:vAlign w:val="center"/>
          </w:tcPr>
          <w:p>
            <w:pPr>
              <w:spacing w:after="0" w:line="240" w:lineRule="auto"/>
            </w:pPr>
            <w:r/>
            <w:r>
              <w:rPr>
                <w:rFonts w:ascii="Calibri" w:hAnsi="Calibri" w:eastAsia="Microsoft YaHei"/>
                <w:b w:val="0"/>
                <w:sz w:val="17"/>
              </w:rPr>
              <w:t>方法层，单独标记</w:t>
            </w:r>
          </w:p>
        </w:tc>
      </w:tr>
      <w:tr>
        <w:trPr>
          <w:cantSplit/>
        </w:trPr>
        <w:tc>
          <w:tcPr>
            <w:tcW w:type="dxa" w:w="2835"/>
            <w:vAlign w:val="center"/>
          </w:tcPr>
          <w:p>
            <w:pPr>
              <w:spacing w:after="0" w:line="240" w:lineRule="auto"/>
            </w:pPr>
            <w:r/>
            <w:r>
              <w:rPr>
                <w:rFonts w:ascii="Calibri" w:hAnsi="Calibri" w:eastAsia="Microsoft YaHei"/>
                <w:b w:val="0"/>
                <w:sz w:val="17"/>
              </w:rPr>
              <w:t>other_adjacent_domain</w:t>
            </w:r>
          </w:p>
        </w:tc>
        <w:tc>
          <w:tcPr>
            <w:tcW w:type="dxa" w:w="5669"/>
            <w:vAlign w:val="center"/>
          </w:tcPr>
          <w:p>
            <w:pPr>
              <w:spacing w:after="0" w:line="240" w:lineRule="auto"/>
            </w:pPr>
            <w:r/>
            <w:r>
              <w:rPr>
                <w:rFonts w:ascii="Calibri" w:hAnsi="Calibri" w:eastAsia="Microsoft YaHei"/>
                <w:b w:val="0"/>
                <w:sz w:val="17"/>
              </w:rPr>
              <w:t>保留但默认不进入主机制统计</w:t>
            </w:r>
          </w:p>
        </w:tc>
      </w:tr>
    </w:tbl>
    <w:p/>
    <w:p>
      <w:pPr>
        <w:pStyle w:val="Heading2"/>
      </w:pPr>
      <w:r>
        <w:t>5.3 域内分析项目</w:t>
      </w:r>
    </w:p>
    <w:p>
      <w:pPr>
        <w:ind w:left="255" w:hanging="198"/>
      </w:pPr>
      <w:r>
        <w:t>1. 概念支持度：以“独立支持论文数”为主，mention 数仅作为辅助，避免一篇长摘要贡献多个节点造成虚高。</w:t>
      </w:r>
    </w:p>
    <w:p>
      <w:pPr>
        <w:ind w:left="255" w:hanging="198"/>
      </w:pPr>
      <w:r>
        <w:t>2. 关系支持度：聚合同一 canonical subject–relation–object 的独立论文数，并保留 claim_type 分布和证据链接。</w:t>
      </w:r>
    </w:p>
    <w:p>
      <w:pPr>
        <w:ind w:left="255" w:hanging="198"/>
      </w:pPr>
      <w:r>
        <w:t>3. 社区结构：在去除极通用 hub 后，对无向加权投影运行 Louvain/Leiden 类社区发现；报告保留 hub 与去除 hub 的敏感性。</w:t>
      </w:r>
    </w:p>
    <w:p>
      <w:pPr>
        <w:ind w:left="255" w:hanging="198"/>
      </w:pPr>
      <w:r>
        <w:t>4. 时间演化：按发表年统计机制/关系支持论文数，并用 3 年滚动窗口观察新机制进入和结构变化；不足年份不强行平滑。</w:t>
      </w:r>
    </w:p>
    <w:p>
      <w:pPr>
        <w:ind w:left="255" w:hanging="198"/>
      </w:pPr>
      <w:r>
        <w:t>5. 局部 motif：优先统计两条边组成的真实路径，如 Strategy→Mechanism→Performance、Interaction→Mechanism→Quantity；路径必须来自同一论文或有明确聚合规则。</w:t>
      </w:r>
    </w:p>
    <w:p>
      <w:pPr>
        <w:ind w:left="255" w:hanging="198"/>
      </w:pPr>
      <w:r>
        <w:t>6. 域内“空白”只按图结构描述为证据稀疏/未充分报告，不直接称为研究空白或新颖性。</w:t>
      </w:r>
    </w:p>
    <w:p>
      <w:pPr/>
      <w:r>
        <w:t>此阶段暂不做“机制—性能排名”。数值性能尚未完成结构化提取，且不同体系、单位和条件不可直接比较。若后续需要性能分析，单独建立 metric/value/unit/condition 表。</w:t>
      </w:r>
    </w:p>
    <w:p>
      <w:pPr>
        <w:pStyle w:val="Heading2"/>
      </w:pPr>
      <w:r>
        <w:t>5.4 Stage 3 固定输出</w:t>
      </w:r>
    </w:p>
    <w:p>
      <w:pPr>
        <w:ind w:left="312" w:hanging="170"/>
      </w:pPr>
      <w:r>
        <w:t>• iTE.mechanism_graph_v2.graphml/json 与 TG.mechanism_graph_v2.graphml/json。</w:t>
      </w:r>
    </w:p>
    <w:p>
      <w:pPr>
        <w:ind w:left="312" w:hanging="170"/>
      </w:pPr>
      <w:r>
        <w:t>• domain_concept_stats.csv、domain_relation_stats.csv、community_assignments.csv、temporal_stats.csv、motif_stats.csv。</w:t>
      </w:r>
    </w:p>
    <w:p>
      <w:pPr>
        <w:ind w:left="312" w:hanging="170"/>
      </w:pPr>
      <w:r>
        <w:t>• 两张独立的图谱总览图：主图只显示高支持度概念与关系；完整图通过交互/补充材料提供。</w:t>
      </w:r>
    </w:p>
    <w:p>
      <w:pPr>
        <w:ind w:left="312" w:hanging="170"/>
      </w:pPr>
      <w:r>
        <w:t>• mechanism_landscape_report.md：分别总结 iTE 与 TG，不进行跨域优劣判断。</w:t>
      </w:r>
    </w:p>
    <w:p>
      <w:pPr>
        <w:pStyle w:val="Heading1"/>
      </w:pPr>
      <w:r>
        <w:t>6 Stage 4：跨图关系与局部结构匹配</w:t>
      </w:r>
    </w:p>
    <w:p>
      <w:pPr/>
      <w:r>
        <w:t>只有 Stage 2 质量审计通过、Stage 3 两张图谱版本冻结后，才启动跨域 matching。基本匹配单元首先是一条带条件的关系 A—r—B vs C—s—D，而不是单个关键词。后续再扩展到两条边的小型子图。</w:t>
      </w:r>
    </w:p>
    <w:p>
      <w:pPr>
        <w:pStyle w:val="Heading2"/>
      </w:pPr>
      <w:r>
        <w:t>6.1 候选生成</w:t>
      </w:r>
    </w:p>
    <w:p>
      <w:pPr>
        <w:ind w:left="255" w:hanging="198"/>
      </w:pPr>
      <w:r>
        <w:t>1. 精确通道：规范名称、已复核 equivalent alias、同义谓词的精确匹配。</w:t>
      </w:r>
    </w:p>
    <w:p>
      <w:pPr>
        <w:ind w:left="255" w:hanging="198"/>
      </w:pPr>
      <w:r>
        <w:t>2. 语义通道：对“subject + predicate + object + 简短证据上下文”编码，iTE→TG 和 TG→iTE 各取 Top-20；合并去重。开发阶段检查 Top-10/20/50 的候选覆盖与标注负担后冻结。</w:t>
      </w:r>
    </w:p>
    <w:p>
      <w:pPr>
        <w:ind w:left="255" w:hanging="198"/>
      </w:pPr>
      <w:r>
        <w:t>3. 候选生成只决定“谁进入比较”，不作为最终匹配真值；未进入候选集的关系不视为负例。</w:t>
      </w:r>
    </w:p>
    <w:p>
      <w:pPr>
        <w:pStyle w:val="Heading2"/>
      </w:pPr>
      <w:r>
        <w:t>6.2 四种对照方法</w:t>
      </w:r>
    </w:p>
    <w:tbl>
      <w:tblPr>
        <w:tblStyle w:val="TableGrid"/>
        <w:tblW w:type="auto" w:w="0"/>
        <w:jc w:val="center"/>
        <w:tblLayout w:type="autofit"/>
        <w:tblLook w:firstColumn="1" w:firstRow="1" w:lastColumn="0" w:lastRow="0" w:noHBand="0" w:noVBand="1" w:val="04A0"/>
      </w:tblPr>
      <w:tblGrid>
        <w:gridCol w:w="3194"/>
        <w:gridCol w:w="3194"/>
        <w:gridCol w:w="3194"/>
      </w:tblGrid>
      <w:tr>
        <w:trPr>
          <w:tblHeader w:val="true"/>
          <w:cantSplit/>
        </w:trPr>
        <w:tc>
          <w:tcPr>
            <w:tcW w:type="dxa" w:w="2268"/>
            <w:vAlign w:val="center"/>
            <w:shd w:fill="D9E1F2"/>
          </w:tcPr>
          <w:p>
            <w:pPr>
              <w:spacing w:after="0" w:line="240" w:lineRule="auto"/>
            </w:pPr>
            <w:r/>
            <w:r>
              <w:rPr>
                <w:rFonts w:ascii="Calibri" w:hAnsi="Calibri" w:eastAsia="Microsoft YaHei"/>
                <w:b/>
                <w:sz w:val="17"/>
              </w:rPr>
              <w:t>方法</w:t>
            </w:r>
          </w:p>
        </w:tc>
        <w:tc>
          <w:tcPr>
            <w:tcW w:type="dxa" w:w="3685"/>
            <w:vAlign w:val="center"/>
            <w:shd w:fill="D9E1F2"/>
          </w:tcPr>
          <w:p>
            <w:pPr>
              <w:spacing w:after="0" w:line="240" w:lineRule="auto"/>
            </w:pPr>
            <w:r/>
            <w:r>
              <w:rPr>
                <w:rFonts w:ascii="Calibri" w:hAnsi="Calibri" w:eastAsia="Microsoft YaHei"/>
                <w:b/>
                <w:sz w:val="17"/>
              </w:rPr>
              <w:t>使用信息</w:t>
            </w:r>
          </w:p>
        </w:tc>
        <w:tc>
          <w:tcPr>
            <w:tcW w:type="dxa" w:w="2551"/>
            <w:vAlign w:val="center"/>
            <w:shd w:fill="D9E1F2"/>
          </w:tcPr>
          <w:p>
            <w:pPr>
              <w:spacing w:after="0" w:line="240" w:lineRule="auto"/>
            </w:pPr>
            <w:r/>
            <w:r>
              <w:rPr>
                <w:rFonts w:ascii="Calibri" w:hAnsi="Calibri" w:eastAsia="Microsoft YaHei"/>
                <w:b/>
                <w:sz w:val="17"/>
              </w:rPr>
              <w:t>目的</w:t>
            </w:r>
          </w:p>
        </w:tc>
      </w:tr>
      <w:tr>
        <w:trPr>
          <w:cantSplit/>
        </w:trPr>
        <w:tc>
          <w:tcPr>
            <w:tcW w:type="dxa" w:w="2268"/>
            <w:vAlign w:val="center"/>
          </w:tcPr>
          <w:p>
            <w:pPr>
              <w:spacing w:after="0" w:line="240" w:lineRule="auto"/>
            </w:pPr>
            <w:r/>
            <w:r>
              <w:rPr>
                <w:rFonts w:ascii="Calibri" w:hAnsi="Calibri" w:eastAsia="Microsoft YaHei"/>
                <w:b w:val="0"/>
                <w:sz w:val="17"/>
              </w:rPr>
              <w:t>Exact baseline</w:t>
            </w:r>
          </w:p>
        </w:tc>
        <w:tc>
          <w:tcPr>
            <w:tcW w:type="dxa" w:w="3685"/>
            <w:vAlign w:val="center"/>
          </w:tcPr>
          <w:p>
            <w:pPr>
              <w:spacing w:after="0" w:line="240" w:lineRule="auto"/>
            </w:pPr>
            <w:r/>
            <w:r>
              <w:rPr>
                <w:rFonts w:ascii="Calibri" w:hAnsi="Calibri" w:eastAsia="Microsoft YaHei"/>
                <w:b w:val="0"/>
                <w:sz w:val="17"/>
              </w:rPr>
              <w:t>规范概念 + 规范谓词精确/别名对应</w:t>
            </w:r>
          </w:p>
        </w:tc>
        <w:tc>
          <w:tcPr>
            <w:tcW w:type="dxa" w:w="2551"/>
            <w:vAlign w:val="center"/>
          </w:tcPr>
          <w:p>
            <w:pPr>
              <w:spacing w:after="0" w:line="240" w:lineRule="auto"/>
            </w:pPr>
            <w:r/>
            <w:r>
              <w:rPr>
                <w:rFonts w:ascii="Calibri" w:hAnsi="Calibri" w:eastAsia="Microsoft YaHei"/>
                <w:b w:val="0"/>
                <w:sz w:val="17"/>
              </w:rPr>
              <w:t>最低复杂度覆盖</w:t>
            </w:r>
          </w:p>
        </w:tc>
      </w:tr>
      <w:tr>
        <w:trPr>
          <w:cantSplit/>
        </w:trPr>
        <w:tc>
          <w:tcPr>
            <w:tcW w:type="dxa" w:w="2268"/>
            <w:vAlign w:val="center"/>
          </w:tcPr>
          <w:p>
            <w:pPr>
              <w:spacing w:after="0" w:line="240" w:lineRule="auto"/>
            </w:pPr>
            <w:r/>
            <w:r>
              <w:rPr>
                <w:rFonts w:ascii="Calibri" w:hAnsi="Calibri" w:eastAsia="Microsoft YaHei"/>
                <w:b w:val="0"/>
                <w:sz w:val="17"/>
              </w:rPr>
              <w:t>Semantic baseline</w:t>
            </w:r>
          </w:p>
        </w:tc>
        <w:tc>
          <w:tcPr>
            <w:tcW w:type="dxa" w:w="3685"/>
            <w:vAlign w:val="center"/>
          </w:tcPr>
          <w:p>
            <w:pPr>
              <w:spacing w:after="0" w:line="240" w:lineRule="auto"/>
            </w:pPr>
            <w:r/>
            <w:r>
              <w:rPr>
                <w:rFonts w:ascii="Calibri" w:hAnsi="Calibri" w:eastAsia="Microsoft YaHei"/>
                <w:b w:val="0"/>
                <w:sz w:val="17"/>
              </w:rPr>
              <w:t>端点语义 + 整条关系文本 embedding</w:t>
            </w:r>
          </w:p>
        </w:tc>
        <w:tc>
          <w:tcPr>
            <w:tcW w:type="dxa" w:w="2551"/>
            <w:vAlign w:val="center"/>
          </w:tcPr>
          <w:p>
            <w:pPr>
              <w:spacing w:after="0" w:line="240" w:lineRule="auto"/>
            </w:pPr>
            <w:r/>
            <w:r>
              <w:rPr>
                <w:rFonts w:ascii="Calibri" w:hAnsi="Calibri" w:eastAsia="Microsoft YaHei"/>
                <w:b w:val="0"/>
                <w:sz w:val="17"/>
              </w:rPr>
              <w:t>单纯文本语义能做到什么</w:t>
            </w:r>
          </w:p>
        </w:tc>
      </w:tr>
      <w:tr>
        <w:trPr>
          <w:cantSplit/>
        </w:trPr>
        <w:tc>
          <w:tcPr>
            <w:tcW w:type="dxa" w:w="2268"/>
            <w:vAlign w:val="center"/>
          </w:tcPr>
          <w:p>
            <w:pPr>
              <w:spacing w:after="0" w:line="240" w:lineRule="auto"/>
            </w:pPr>
            <w:r/>
            <w:r>
              <w:rPr>
                <w:rFonts w:ascii="Calibri" w:hAnsi="Calibri" w:eastAsia="Microsoft YaHei"/>
                <w:b w:val="0"/>
                <w:sz w:val="17"/>
              </w:rPr>
              <w:t>Relation-constrained</w:t>
            </w:r>
          </w:p>
        </w:tc>
        <w:tc>
          <w:tcPr>
            <w:tcW w:type="dxa" w:w="3685"/>
            <w:vAlign w:val="center"/>
          </w:tcPr>
          <w:p>
            <w:pPr>
              <w:spacing w:after="0" w:line="240" w:lineRule="auto"/>
            </w:pPr>
            <w:r/>
            <w:r>
              <w:rPr>
                <w:rFonts w:ascii="Calibri" w:hAnsi="Calibri" w:eastAsia="Microsoft YaHei"/>
                <w:b w:val="0"/>
                <w:sz w:val="17"/>
              </w:rPr>
              <w:t>语义 + semantic_role + 方向 + 可用条件 + 概念层级</w:t>
            </w:r>
          </w:p>
        </w:tc>
        <w:tc>
          <w:tcPr>
            <w:tcW w:type="dxa" w:w="2551"/>
            <w:vAlign w:val="center"/>
          </w:tcPr>
          <w:p>
            <w:pPr>
              <w:spacing w:after="0" w:line="240" w:lineRule="auto"/>
            </w:pPr>
            <w:r/>
            <w:r>
              <w:rPr>
                <w:rFonts w:ascii="Calibri" w:hAnsi="Calibri" w:eastAsia="Microsoft YaHei"/>
                <w:b w:val="0"/>
                <w:sz w:val="17"/>
              </w:rPr>
              <w:t>测量显式关系约束的增量价值</w:t>
            </w:r>
          </w:p>
        </w:tc>
      </w:tr>
      <w:tr>
        <w:trPr>
          <w:cantSplit/>
        </w:trPr>
        <w:tc>
          <w:tcPr>
            <w:tcW w:type="dxa" w:w="2268"/>
            <w:vAlign w:val="center"/>
          </w:tcPr>
          <w:p>
            <w:pPr>
              <w:spacing w:after="0" w:line="240" w:lineRule="auto"/>
            </w:pPr>
            <w:r/>
            <w:r>
              <w:rPr>
                <w:rFonts w:ascii="Calibri" w:hAnsi="Calibri" w:eastAsia="Microsoft YaHei"/>
                <w:b w:val="0"/>
                <w:sz w:val="17"/>
              </w:rPr>
              <w:t>Neighborhood-enhanced</w:t>
            </w:r>
          </w:p>
        </w:tc>
        <w:tc>
          <w:tcPr>
            <w:tcW w:type="dxa" w:w="3685"/>
            <w:vAlign w:val="center"/>
          </w:tcPr>
          <w:p>
            <w:pPr>
              <w:spacing w:after="0" w:line="240" w:lineRule="auto"/>
            </w:pPr>
            <w:r/>
            <w:r>
              <w:rPr>
                <w:rFonts w:ascii="Calibri" w:hAnsi="Calibri" w:eastAsia="Microsoft YaHei"/>
                <w:b w:val="0"/>
                <w:sz w:val="17"/>
              </w:rPr>
              <w:t>前项 + 一跳邻域关系模式</w:t>
            </w:r>
          </w:p>
        </w:tc>
        <w:tc>
          <w:tcPr>
            <w:tcW w:type="dxa" w:w="2551"/>
            <w:vAlign w:val="center"/>
          </w:tcPr>
          <w:p>
            <w:pPr>
              <w:spacing w:after="0" w:line="240" w:lineRule="auto"/>
            </w:pPr>
            <w:r/>
            <w:r>
              <w:rPr>
                <w:rFonts w:ascii="Calibri" w:hAnsi="Calibri" w:eastAsia="Microsoft YaHei"/>
                <w:b w:val="0"/>
                <w:sz w:val="17"/>
              </w:rPr>
              <w:t>测量局部图结构的额外价值</w:t>
            </w:r>
          </w:p>
        </w:tc>
      </w:tr>
    </w:tbl>
    <w:p/>
    <w:p>
      <w:pPr>
        <w:pStyle w:val="Heading2"/>
      </w:pPr>
      <w:r>
        <w:t>6.3 可直接实现的评分框架</w:t>
      </w:r>
    </w:p>
    <w:p>
      <w:pPr/>
      <w:r>
        <w:t>所有分量先缩放至 0–1。缺失条件标记为 unknown，并从该候选的有效分母中排除；不能把“没报告”自动记为兼容或冲突。开发集只在预先定义的小网格中选择权重，最终测试前冻结。</w:t>
      </w:r>
    </w:p>
    <w:tbl>
      <w:tblPr>
        <w:tblStyle w:val="TableGrid"/>
        <w:tblW w:type="auto" w:w="0"/>
        <w:jc w:val="center"/>
        <w:tblLayout w:type="autofit"/>
        <w:tblLook w:firstColumn="1" w:firstRow="1" w:lastColumn="0" w:lastRow="0" w:noHBand="0" w:noVBand="1" w:val="04A0"/>
      </w:tblPr>
      <w:tblGrid>
        <w:gridCol w:w="4791"/>
        <w:gridCol w:w="4791"/>
      </w:tblGrid>
      <w:tr>
        <w:trPr>
          <w:tblHeader w:val="true"/>
          <w:cantSplit/>
        </w:trPr>
        <w:tc>
          <w:tcPr>
            <w:tcW w:type="dxa" w:w="2324"/>
            <w:vAlign w:val="center"/>
            <w:shd w:fill="D9E1F2"/>
          </w:tcPr>
          <w:p>
            <w:pPr>
              <w:spacing w:after="0" w:line="240" w:lineRule="auto"/>
            </w:pPr>
            <w:r/>
            <w:r>
              <w:rPr>
                <w:rFonts w:ascii="Calibri" w:hAnsi="Calibri" w:eastAsia="Microsoft YaHei"/>
                <w:b/>
                <w:sz w:val="17"/>
              </w:rPr>
              <w:t>分量</w:t>
            </w:r>
          </w:p>
        </w:tc>
        <w:tc>
          <w:tcPr>
            <w:tcW w:type="dxa" w:w="6180"/>
            <w:vAlign w:val="center"/>
            <w:shd w:fill="D9E1F2"/>
          </w:tcPr>
          <w:p>
            <w:pPr>
              <w:spacing w:after="0" w:line="240" w:lineRule="auto"/>
            </w:pPr>
            <w:r/>
            <w:r>
              <w:rPr>
                <w:rFonts w:ascii="Calibri" w:hAnsi="Calibri" w:eastAsia="Microsoft YaHei"/>
                <w:b/>
                <w:sz w:val="17"/>
              </w:rPr>
              <w:t>定义（初始实现）</w:t>
            </w:r>
          </w:p>
        </w:tc>
      </w:tr>
      <w:tr>
        <w:trPr>
          <w:cantSplit/>
        </w:trPr>
        <w:tc>
          <w:tcPr>
            <w:tcW w:type="dxa" w:w="2324"/>
            <w:vAlign w:val="center"/>
          </w:tcPr>
          <w:p>
            <w:pPr>
              <w:spacing w:after="0" w:line="240" w:lineRule="auto"/>
            </w:pPr>
            <w:r/>
            <w:r>
              <w:rPr>
                <w:rFonts w:ascii="Calibri" w:hAnsi="Calibri" w:eastAsia="Microsoft YaHei"/>
                <w:b w:val="0"/>
                <w:sz w:val="17"/>
              </w:rPr>
              <w:t>Endpoint similarity</w:t>
            </w:r>
          </w:p>
        </w:tc>
        <w:tc>
          <w:tcPr>
            <w:tcW w:type="dxa" w:w="6180"/>
            <w:vAlign w:val="center"/>
          </w:tcPr>
          <w:p>
            <w:pPr>
              <w:spacing w:after="0" w:line="240" w:lineRule="auto"/>
            </w:pPr>
            <w:r/>
            <w:r>
              <w:rPr>
                <w:rFonts w:ascii="Calibri" w:hAnsi="Calibri" w:eastAsia="Microsoft YaHei"/>
                <w:b w:val="0"/>
                <w:sz w:val="17"/>
              </w:rPr>
              <w:t>subject 对 subject、object 对 object 的语义相似度平均；不允许任意交换方向</w:t>
            </w:r>
          </w:p>
        </w:tc>
      </w:tr>
      <w:tr>
        <w:trPr>
          <w:cantSplit/>
        </w:trPr>
        <w:tc>
          <w:tcPr>
            <w:tcW w:type="dxa" w:w="2324"/>
            <w:vAlign w:val="center"/>
          </w:tcPr>
          <w:p>
            <w:pPr>
              <w:spacing w:after="0" w:line="240" w:lineRule="auto"/>
            </w:pPr>
            <w:r/>
            <w:r>
              <w:rPr>
                <w:rFonts w:ascii="Calibri" w:hAnsi="Calibri" w:eastAsia="Microsoft YaHei"/>
                <w:b w:val="0"/>
                <w:sz w:val="17"/>
              </w:rPr>
              <w:t>Predicate similarity</w:t>
            </w:r>
          </w:p>
        </w:tc>
        <w:tc>
          <w:tcPr>
            <w:tcW w:type="dxa" w:w="6180"/>
            <w:vAlign w:val="center"/>
          </w:tcPr>
          <w:p>
            <w:pPr>
              <w:spacing w:after="0" w:line="240" w:lineRule="auto"/>
            </w:pPr>
            <w:r/>
            <w:r>
              <w:rPr>
                <w:rFonts w:ascii="Calibri" w:hAnsi="Calibri" w:eastAsia="Microsoft YaHei"/>
                <w:b w:val="0"/>
                <w:sz w:val="17"/>
              </w:rPr>
              <w:t>规范谓词及原始谓词文本的语义相似度</w:t>
            </w:r>
          </w:p>
        </w:tc>
      </w:tr>
      <w:tr>
        <w:trPr>
          <w:cantSplit/>
        </w:trPr>
        <w:tc>
          <w:tcPr>
            <w:tcW w:type="dxa" w:w="2324"/>
            <w:vAlign w:val="center"/>
          </w:tcPr>
          <w:p>
            <w:pPr>
              <w:spacing w:after="0" w:line="240" w:lineRule="auto"/>
            </w:pPr>
            <w:r/>
            <w:r>
              <w:rPr>
                <w:rFonts w:ascii="Calibri" w:hAnsi="Calibri" w:eastAsia="Microsoft YaHei"/>
                <w:b w:val="0"/>
                <w:sz w:val="17"/>
              </w:rPr>
              <w:t>Hierarchy compatibility</w:t>
            </w:r>
          </w:p>
        </w:tc>
        <w:tc>
          <w:tcPr>
            <w:tcW w:type="dxa" w:w="6180"/>
            <w:vAlign w:val="center"/>
          </w:tcPr>
          <w:p>
            <w:pPr>
              <w:spacing w:after="0" w:line="240" w:lineRule="auto"/>
            </w:pPr>
            <w:r/>
            <w:r>
              <w:rPr>
                <w:rFonts w:ascii="Calibri" w:hAnsi="Calibri" w:eastAsia="Microsoft YaHei"/>
                <w:b w:val="0"/>
                <w:sz w:val="17"/>
              </w:rPr>
              <w:t>equivalent=1；narrower/broader 视任务给部分分；distinct=0；uncertain 不加分</w:t>
            </w:r>
          </w:p>
        </w:tc>
      </w:tr>
      <w:tr>
        <w:trPr>
          <w:cantSplit/>
        </w:trPr>
        <w:tc>
          <w:tcPr>
            <w:tcW w:type="dxa" w:w="2324"/>
            <w:vAlign w:val="center"/>
          </w:tcPr>
          <w:p>
            <w:pPr>
              <w:spacing w:after="0" w:line="240" w:lineRule="auto"/>
            </w:pPr>
            <w:r/>
            <w:r>
              <w:rPr>
                <w:rFonts w:ascii="Calibri" w:hAnsi="Calibri" w:eastAsia="Microsoft YaHei"/>
                <w:b w:val="0"/>
                <w:sz w:val="17"/>
              </w:rPr>
              <w:t>Direction compatibility</w:t>
            </w:r>
          </w:p>
        </w:tc>
        <w:tc>
          <w:tcPr>
            <w:tcW w:type="dxa" w:w="6180"/>
            <w:vAlign w:val="center"/>
          </w:tcPr>
          <w:p>
            <w:pPr>
              <w:spacing w:after="0" w:line="240" w:lineRule="auto"/>
            </w:pPr>
            <w:r/>
            <w:r>
              <w:rPr>
                <w:rFonts w:ascii="Calibri" w:hAnsi="Calibri" w:eastAsia="Microsoft YaHei"/>
                <w:b w:val="0"/>
                <w:sz w:val="17"/>
              </w:rPr>
              <w:t>方向一致=1；明确冲突=0；未知从分母排除</w:t>
            </w:r>
          </w:p>
        </w:tc>
      </w:tr>
      <w:tr>
        <w:trPr>
          <w:cantSplit/>
        </w:trPr>
        <w:tc>
          <w:tcPr>
            <w:tcW w:type="dxa" w:w="2324"/>
            <w:vAlign w:val="center"/>
          </w:tcPr>
          <w:p>
            <w:pPr>
              <w:spacing w:after="0" w:line="240" w:lineRule="auto"/>
            </w:pPr>
            <w:r/>
            <w:r>
              <w:rPr>
                <w:rFonts w:ascii="Calibri" w:hAnsi="Calibri" w:eastAsia="Microsoft YaHei"/>
                <w:b w:val="0"/>
                <w:sz w:val="17"/>
              </w:rPr>
              <w:t>Condition compatibility</w:t>
            </w:r>
          </w:p>
        </w:tc>
        <w:tc>
          <w:tcPr>
            <w:tcW w:type="dxa" w:w="6180"/>
            <w:vAlign w:val="center"/>
          </w:tcPr>
          <w:p>
            <w:pPr>
              <w:spacing w:after="0" w:line="240" w:lineRule="auto"/>
            </w:pPr>
            <w:r/>
            <w:r>
              <w:rPr>
                <w:rFonts w:ascii="Calibri" w:hAnsi="Calibri" w:eastAsia="Microsoft YaHei"/>
                <w:b w:val="0"/>
                <w:sz w:val="17"/>
              </w:rPr>
              <w:t>双方已报告条件可兼容=1；明确冲突=0；一方/双方缺失则 unknown</w:t>
            </w:r>
          </w:p>
        </w:tc>
      </w:tr>
      <w:tr>
        <w:trPr>
          <w:cantSplit/>
        </w:trPr>
        <w:tc>
          <w:tcPr>
            <w:tcW w:type="dxa" w:w="2324"/>
            <w:vAlign w:val="center"/>
          </w:tcPr>
          <w:p>
            <w:pPr>
              <w:spacing w:after="0" w:line="240" w:lineRule="auto"/>
            </w:pPr>
            <w:r/>
            <w:r>
              <w:rPr>
                <w:rFonts w:ascii="Calibri" w:hAnsi="Calibri" w:eastAsia="Microsoft YaHei"/>
                <w:b w:val="0"/>
                <w:sz w:val="17"/>
              </w:rPr>
              <w:t>Neighborhood similarity</w:t>
            </w:r>
          </w:p>
        </w:tc>
        <w:tc>
          <w:tcPr>
            <w:tcW w:type="dxa" w:w="6180"/>
            <w:vAlign w:val="center"/>
          </w:tcPr>
          <w:p>
            <w:pPr>
              <w:spacing w:after="0" w:line="240" w:lineRule="auto"/>
            </w:pPr>
            <w:r/>
            <w:r>
              <w:rPr>
                <w:rFonts w:ascii="Calibri" w:hAnsi="Calibri" w:eastAsia="Microsoft YaHei"/>
                <w:b w:val="0"/>
                <w:sz w:val="17"/>
              </w:rPr>
              <w:t>一跳签名 (in/out, relation, neighbor semantic_role/concept family) 的加权 Jaccard 或 cosine</w:t>
            </w:r>
          </w:p>
        </w:tc>
      </w:tr>
    </w:tbl>
    <w:p/>
    <w:p>
      <w:pPr/>
      <w:r>
        <w:t>权重不在方案中声称为物理常数。开发集比较少量组合，例如 relation-constraint 权重 λ∈{0.25,0.5,0.75}、neighborhood 权重 μ∈{0.1,0.2,0.3}，以开发集 P@20 和错误类型选择后冻结。</w:t>
      </w:r>
    </w:p>
    <w:p>
      <w:pPr>
        <w:pStyle w:val="Heading2"/>
      </w:pPr>
      <w:r>
        <w:t>6.4 评价设计</w:t>
      </w:r>
    </w:p>
    <w:tbl>
      <w:tblPr>
        <w:tblStyle w:val="TableGrid"/>
        <w:tblW w:type="auto" w:w="0"/>
        <w:jc w:val="center"/>
        <w:tblLayout w:type="autofit"/>
        <w:tblLook w:firstColumn="1" w:firstRow="1" w:lastColumn="0" w:lastRow="0" w:noHBand="0" w:noVBand="1" w:val="04A0"/>
      </w:tblPr>
      <w:tblGrid>
        <w:gridCol w:w="3194"/>
        <w:gridCol w:w="3194"/>
        <w:gridCol w:w="3194"/>
      </w:tblGrid>
      <w:tr>
        <w:trPr>
          <w:tblHeader w:val="true"/>
          <w:cantSplit/>
        </w:trPr>
        <w:tc>
          <w:tcPr>
            <w:tcW w:type="dxa" w:w="1871"/>
            <w:vAlign w:val="center"/>
            <w:shd w:fill="D9E1F2"/>
          </w:tcPr>
          <w:p>
            <w:pPr>
              <w:spacing w:after="0" w:line="240" w:lineRule="auto"/>
            </w:pPr>
            <w:r/>
            <w:r>
              <w:rPr>
                <w:rFonts w:ascii="Calibri" w:hAnsi="Calibri" w:eastAsia="Microsoft YaHei"/>
                <w:b/>
                <w:sz w:val="17"/>
              </w:rPr>
              <w:t>集合</w:t>
            </w:r>
          </w:p>
        </w:tc>
        <w:tc>
          <w:tcPr>
            <w:tcW w:type="dxa" w:w="2835"/>
            <w:vAlign w:val="center"/>
            <w:shd w:fill="D9E1F2"/>
          </w:tcPr>
          <w:p>
            <w:pPr>
              <w:spacing w:after="0" w:line="240" w:lineRule="auto"/>
            </w:pPr>
            <w:r/>
            <w:r>
              <w:rPr>
                <w:rFonts w:ascii="Calibri" w:hAnsi="Calibri" w:eastAsia="Microsoft YaHei"/>
                <w:b/>
                <w:sz w:val="17"/>
              </w:rPr>
              <w:t>默认规模</w:t>
            </w:r>
          </w:p>
        </w:tc>
        <w:tc>
          <w:tcPr>
            <w:tcW w:type="dxa" w:w="3969"/>
            <w:vAlign w:val="center"/>
            <w:shd w:fill="D9E1F2"/>
          </w:tcPr>
          <w:p>
            <w:pPr>
              <w:spacing w:after="0" w:line="240" w:lineRule="auto"/>
            </w:pPr>
            <w:r/>
            <w:r>
              <w:rPr>
                <w:rFonts w:ascii="Calibri" w:hAnsi="Calibri" w:eastAsia="Microsoft YaHei"/>
                <w:b/>
                <w:sz w:val="17"/>
              </w:rPr>
              <w:t>用途</w:t>
            </w:r>
          </w:p>
        </w:tc>
      </w:tr>
      <w:tr>
        <w:trPr>
          <w:cantSplit/>
        </w:trPr>
        <w:tc>
          <w:tcPr>
            <w:tcW w:type="dxa" w:w="1871"/>
            <w:vAlign w:val="center"/>
          </w:tcPr>
          <w:p>
            <w:pPr>
              <w:spacing w:after="0" w:line="240" w:lineRule="auto"/>
            </w:pPr>
            <w:r/>
            <w:r>
              <w:rPr>
                <w:rFonts w:ascii="Calibri" w:hAnsi="Calibri" w:eastAsia="Microsoft YaHei"/>
                <w:b w:val="0"/>
                <w:sz w:val="17"/>
              </w:rPr>
              <w:t>开发集</w:t>
            </w:r>
          </w:p>
        </w:tc>
        <w:tc>
          <w:tcPr>
            <w:tcW w:type="dxa" w:w="2835"/>
            <w:vAlign w:val="center"/>
          </w:tcPr>
          <w:p>
            <w:pPr>
              <w:spacing w:after="0" w:line="240" w:lineRule="auto"/>
            </w:pPr>
            <w:r/>
            <w:r>
              <w:rPr>
                <w:rFonts w:ascii="Calibri" w:hAnsi="Calibri" w:eastAsia="Microsoft YaHei"/>
                <w:b w:val="0"/>
                <w:sz w:val="17"/>
              </w:rPr>
              <w:t>约 60 个候选，覆盖不同概念族/关系类型</w:t>
            </w:r>
          </w:p>
        </w:tc>
        <w:tc>
          <w:tcPr>
            <w:tcW w:type="dxa" w:w="3969"/>
            <w:vAlign w:val="center"/>
          </w:tcPr>
          <w:p>
            <w:pPr>
              <w:spacing w:after="0" w:line="240" w:lineRule="auto"/>
            </w:pPr>
            <w:r/>
            <w:r>
              <w:rPr>
                <w:rFonts w:ascii="Calibri" w:hAnsi="Calibri" w:eastAsia="Microsoft YaHei"/>
                <w:b w:val="0"/>
                <w:sz w:val="17"/>
              </w:rPr>
              <w:t>解释标签、选权重和阈值；不进入最终结论</w:t>
            </w:r>
          </w:p>
        </w:tc>
      </w:tr>
      <w:tr>
        <w:trPr>
          <w:cantSplit/>
        </w:trPr>
        <w:tc>
          <w:tcPr>
            <w:tcW w:type="dxa" w:w="1871"/>
            <w:vAlign w:val="center"/>
          </w:tcPr>
          <w:p>
            <w:pPr>
              <w:spacing w:after="0" w:line="240" w:lineRule="auto"/>
            </w:pPr>
            <w:r/>
            <w:r>
              <w:rPr>
                <w:rFonts w:ascii="Calibri" w:hAnsi="Calibri" w:eastAsia="Microsoft YaHei"/>
                <w:b w:val="0"/>
                <w:sz w:val="17"/>
              </w:rPr>
              <w:t>最终盲评</w:t>
            </w:r>
          </w:p>
        </w:tc>
        <w:tc>
          <w:tcPr>
            <w:tcW w:type="dxa" w:w="2835"/>
            <w:vAlign w:val="center"/>
          </w:tcPr>
          <w:p>
            <w:pPr>
              <w:spacing w:after="0" w:line="240" w:lineRule="auto"/>
            </w:pPr>
            <w:r/>
            <w:r>
              <w:rPr>
                <w:rFonts w:ascii="Calibri" w:hAnsi="Calibri" w:eastAsia="Microsoft YaHei"/>
                <w:b w:val="0"/>
                <w:sz w:val="17"/>
              </w:rPr>
              <w:t>四种方法各 Top-50 合并去重，打乱并隐藏方法名/得分</w:t>
            </w:r>
          </w:p>
        </w:tc>
        <w:tc>
          <w:tcPr>
            <w:tcW w:type="dxa" w:w="3969"/>
            <w:vAlign w:val="center"/>
          </w:tcPr>
          <w:p>
            <w:pPr>
              <w:spacing w:after="0" w:line="240" w:lineRule="auto"/>
            </w:pPr>
            <w:r/>
            <w:r>
              <w:rPr>
                <w:rFonts w:ascii="Calibri" w:hAnsi="Calibri" w:eastAsia="Microsoft YaHei"/>
                <w:b w:val="0"/>
                <w:sz w:val="17"/>
              </w:rPr>
              <w:t>主要 P@20、P@50 与分级匹配结果</w:t>
            </w:r>
          </w:p>
        </w:tc>
      </w:tr>
      <w:tr>
        <w:trPr>
          <w:cantSplit/>
        </w:trPr>
        <w:tc>
          <w:tcPr>
            <w:tcW w:type="dxa" w:w="1871"/>
            <w:vAlign w:val="center"/>
          </w:tcPr>
          <w:p>
            <w:pPr>
              <w:spacing w:after="0" w:line="240" w:lineRule="auto"/>
            </w:pPr>
            <w:r/>
            <w:r>
              <w:rPr>
                <w:rFonts w:ascii="Calibri" w:hAnsi="Calibri" w:eastAsia="Microsoft YaHei"/>
                <w:b w:val="0"/>
                <w:sz w:val="17"/>
              </w:rPr>
              <w:t>困难诊断集</w:t>
            </w:r>
          </w:p>
        </w:tc>
        <w:tc>
          <w:tcPr>
            <w:tcW w:type="dxa" w:w="2835"/>
            <w:vAlign w:val="center"/>
          </w:tcPr>
          <w:p>
            <w:pPr>
              <w:spacing w:after="0" w:line="240" w:lineRule="auto"/>
            </w:pPr>
            <w:r/>
            <w:r>
              <w:rPr>
                <w:rFonts w:ascii="Calibri" w:hAnsi="Calibri" w:eastAsia="Microsoft YaHei"/>
                <w:b w:val="0"/>
                <w:sz w:val="17"/>
              </w:rPr>
              <w:t>约 50 个中低分、条件冲突或高语义但结构不符的候选</w:t>
            </w:r>
          </w:p>
        </w:tc>
        <w:tc>
          <w:tcPr>
            <w:tcW w:type="dxa" w:w="3969"/>
            <w:vAlign w:val="center"/>
          </w:tcPr>
          <w:p>
            <w:pPr>
              <w:spacing w:after="0" w:line="240" w:lineRule="auto"/>
            </w:pPr>
            <w:r/>
            <w:r>
              <w:rPr>
                <w:rFonts w:ascii="Calibri" w:hAnsi="Calibri" w:eastAsia="Microsoft YaHei"/>
                <w:b w:val="0"/>
                <w:sz w:val="17"/>
              </w:rPr>
              <w:t>分析假阳性/假阴性，不冒充随机全空间评价</w:t>
            </w:r>
          </w:p>
        </w:tc>
      </w:tr>
    </w:tbl>
    <w:p/>
    <w:p>
      <w:pPr/>
      <w:r>
        <w:t>人工标签顺序：先判断 iTE 侧关系证据是否成立；再判断 TG 侧；之后判关系匹配 2/1/0；最后单独判条件 compatible/conflict/insufficient。严格 P@K 只把“双侧证据成立且关系=2”的候选计为正例。</w:t>
      </w:r>
    </w:p>
    <w:p>
      <w:pPr/>
      <w:r>
        <w:t>由于没有全空间金标准，不报告整个候选空间的 recall，也不把未标注候选设为负例。比较报告绝对差值、样本量与按论文/概念族 bootstrap 的不确定性。</w:t>
      </w:r>
    </w:p>
    <w:p>
      <w:pPr>
        <w:pStyle w:val="Heading2"/>
      </w:pPr>
      <w:r>
        <w:t>6.5 消融与敏感性</w:t>
      </w:r>
    </w:p>
    <w:p>
      <w:pPr>
        <w:ind w:left="312" w:hanging="170"/>
      </w:pPr>
      <w:r>
        <w:t>• 分别去掉方向、条件、概念层级和邻域项，判断增益来自哪里。</w:t>
      </w:r>
    </w:p>
    <w:p>
      <w:pPr>
        <w:ind w:left="312" w:hanging="170"/>
      </w:pPr>
      <w:r>
        <w:t>• 去除高频通用 hub 后重算，检查“solvation / ion transport / performance”等通用节点是否造成虚高。</w:t>
      </w:r>
    </w:p>
    <w:p>
      <w:pPr>
        <w:ind w:left="312" w:hanging="170"/>
      </w:pPr>
      <w:r>
        <w:t>• 对 66 篇历史跨集合重复论文、综述、混合机制、相邻领域单独做敏感性分析；默认全集不改变。</w:t>
      </w:r>
    </w:p>
    <w:p>
      <w:pPr>
        <w:ind w:left="312" w:hanging="170"/>
      </w:pPr>
      <w:r>
        <w:t>• 双向检索只用于候选覆盖，不解释为双向物理迁移。</w:t>
      </w:r>
    </w:p>
    <w:p>
      <w:pPr>
        <w:pStyle w:val="Heading1"/>
      </w:pPr>
      <w:r>
        <w:t>7 Stage 5：全文复核、科学兼容性与案例</w:t>
      </w:r>
    </w:p>
    <w:p>
      <w:pPr/>
      <w:r>
        <w:t>匹配方法评价与“是否值得科学验证”必须分开。高分 relation match 只能说明两侧关系在语义/结构上可比，不能直接推出目标体系中会产生相同物理后果。</w:t>
      </w:r>
    </w:p>
    <w:p>
      <w:pPr>
        <w:pStyle w:val="Heading2"/>
      </w:pPr>
      <w:r>
        <w:t>7.1 案例选择</w:t>
      </w:r>
    </w:p>
    <w:p>
      <w:pPr>
        <w:ind w:left="255" w:hanging="198"/>
      </w:pPr>
      <w:r>
        <w:t>1. 从不同机制族选择 3–5 个候选，至少包含：一个高置信共享机制、一个部分匹配/条件不足、一个明确失败或条件冲突案例。</w:t>
      </w:r>
    </w:p>
    <w:p>
      <w:pPr>
        <w:ind w:left="255" w:hanging="198"/>
      </w:pPr>
      <w:r>
        <w:t>2. 优先选择双方均有清晰原始证据、且摘要无法回答关键条件的问题；必要时获取全文与 SI。</w:t>
      </w:r>
    </w:p>
    <w:p>
      <w:pPr>
        <w:ind w:left="255" w:hanging="198"/>
      </w:pPr>
      <w:r>
        <w:t>3. 新颖性必须另做最新文献/专利检索；“当前摘要库未出现”不能表述为“尚未报道”。</w:t>
      </w:r>
    </w:p>
    <w:p>
      <w:pPr>
        <w:pStyle w:val="Heading2"/>
      </w:pPr>
      <w:r>
        <w:t>7.2 全文补充字段</w:t>
      </w:r>
    </w:p>
    <w:p>
      <w:pPr>
        <w:ind w:left="312" w:hanging="170"/>
      </w:pPr>
      <w:r>
        <w:t>• 温度、浓度、材料配比、测量方式、时间尺度和关键对照。</w:t>
      </w:r>
    </w:p>
    <w:p>
      <w:pPr>
        <w:ind w:left="312" w:hanging="170"/>
      </w:pPr>
      <w:r>
        <w:t>• 原文段落/页码、图表位置、全文与摘要冲突记录。</w:t>
      </w:r>
    </w:p>
    <w:p>
      <w:pPr>
        <w:ind w:left="312" w:hanging="170"/>
      </w:pPr>
      <w:r>
        <w:t>• 关系是否仍成立、是否需要降级为 association/hypothesis、是否出现替代解释。</w:t>
      </w:r>
    </w:p>
    <w:p>
      <w:pPr>
        <w:ind w:left="312" w:hanging="170"/>
      </w:pPr>
      <w:r>
        <w:t>• 只有在全文核查后才讨论 transferable principle、可证伪假设与实验设计。</w:t>
      </w:r>
    </w:p>
    <w:p>
      <w:pPr>
        <w:pStyle w:val="Heading1"/>
      </w:pPr>
      <w:r>
        <w:t>8 立即执行顺序与建议脚本</w:t>
      </w:r>
    </w:p>
    <w:p>
      <w:pPr/>
      <w:r>
        <w:t>下列顺序建立在当前 Stage 1 已交付结果上，不重新调用模型抽取全部摘要。脚本名称为建议的新模块；已有 rebuild.py、normalize.py、export_normalized.py、finalize.py 保留用于重建 v1。</w:t>
      </w:r>
    </w:p>
    <w:tbl>
      <w:tblPr>
        <w:tblStyle w:val="TableGrid"/>
        <w:tblW w:type="auto" w:w="0"/>
        <w:jc w:val="center"/>
        <w:tblLayout w:type="autofit"/>
        <w:tblLook w:firstColumn="1" w:firstRow="1" w:lastColumn="0" w:lastRow="0" w:noHBand="0" w:noVBand="1" w:val="04A0"/>
      </w:tblPr>
      <w:tblGrid>
        <w:gridCol w:w="2395"/>
        <w:gridCol w:w="2395"/>
        <w:gridCol w:w="2395"/>
        <w:gridCol w:w="2395"/>
      </w:tblGrid>
      <w:tr>
        <w:trPr>
          <w:tblHeader w:val="true"/>
          <w:cantSplit/>
        </w:trPr>
        <w:tc>
          <w:tcPr>
            <w:tcW w:type="dxa" w:w="567"/>
            <w:vAlign w:val="center"/>
            <w:shd w:fill="D9E1F2"/>
          </w:tcPr>
          <w:p>
            <w:pPr>
              <w:spacing w:after="0" w:line="240" w:lineRule="auto"/>
            </w:pPr>
            <w:r/>
            <w:r>
              <w:rPr>
                <w:rFonts w:ascii="Calibri" w:hAnsi="Calibri" w:eastAsia="Microsoft YaHei"/>
                <w:b/>
                <w:sz w:val="16"/>
              </w:rPr>
              <w:t>顺序</w:t>
            </w:r>
          </w:p>
        </w:tc>
        <w:tc>
          <w:tcPr>
            <w:tcW w:type="dxa" w:w="3061"/>
            <w:vAlign w:val="center"/>
            <w:shd w:fill="D9E1F2"/>
          </w:tcPr>
          <w:p>
            <w:pPr>
              <w:spacing w:after="0" w:line="240" w:lineRule="auto"/>
            </w:pPr>
            <w:r/>
            <w:r>
              <w:rPr>
                <w:rFonts w:ascii="Calibri" w:hAnsi="Calibri" w:eastAsia="Microsoft YaHei"/>
                <w:b/>
                <w:sz w:val="16"/>
              </w:rPr>
              <w:t>建议脚本/操作</w:t>
            </w:r>
          </w:p>
        </w:tc>
        <w:tc>
          <w:tcPr>
            <w:tcW w:type="dxa" w:w="2381"/>
            <w:vAlign w:val="center"/>
            <w:shd w:fill="D9E1F2"/>
          </w:tcPr>
          <w:p>
            <w:pPr>
              <w:spacing w:after="0" w:line="240" w:lineRule="auto"/>
            </w:pPr>
            <w:r/>
            <w:r>
              <w:rPr>
                <w:rFonts w:ascii="Calibri" w:hAnsi="Calibri" w:eastAsia="Microsoft YaHei"/>
                <w:b/>
                <w:sz w:val="16"/>
              </w:rPr>
              <w:t>输入</w:t>
            </w:r>
          </w:p>
        </w:tc>
        <w:tc>
          <w:tcPr>
            <w:tcW w:type="dxa" w:w="2835"/>
            <w:vAlign w:val="center"/>
            <w:shd w:fill="D9E1F2"/>
          </w:tcPr>
          <w:p>
            <w:pPr>
              <w:spacing w:after="0" w:line="240" w:lineRule="auto"/>
            </w:pPr>
            <w:r/>
            <w:r>
              <w:rPr>
                <w:rFonts w:ascii="Calibri" w:hAnsi="Calibri" w:eastAsia="Microsoft YaHei"/>
                <w:b/>
                <w:sz w:val="16"/>
              </w:rPr>
              <w:t>输出</w:t>
            </w:r>
          </w:p>
        </w:tc>
      </w:tr>
      <w:tr>
        <w:trPr>
          <w:cantSplit/>
        </w:trPr>
        <w:tc>
          <w:tcPr>
            <w:tcW w:type="dxa" w:w="567"/>
            <w:vAlign w:val="center"/>
          </w:tcPr>
          <w:p>
            <w:pPr>
              <w:spacing w:after="0" w:line="240" w:lineRule="auto"/>
            </w:pPr>
            <w:r/>
            <w:r>
              <w:rPr>
                <w:rFonts w:ascii="Calibri" w:hAnsi="Calibri" w:eastAsia="Microsoft YaHei"/>
                <w:b w:val="0"/>
                <w:sz w:val="16"/>
              </w:rPr>
              <w:t>1</w:t>
            </w:r>
          </w:p>
        </w:tc>
        <w:tc>
          <w:tcPr>
            <w:tcW w:type="dxa" w:w="3061"/>
            <w:vAlign w:val="center"/>
          </w:tcPr>
          <w:p>
            <w:pPr>
              <w:spacing w:after="0" w:line="240" w:lineRule="auto"/>
            </w:pPr>
            <w:r/>
            <w:r>
              <w:rPr>
                <w:rFonts w:ascii="Calibri" w:hAnsi="Calibri" w:eastAsia="Microsoft YaHei"/>
                <w:b w:val="0"/>
                <w:sz w:val="16"/>
              </w:rPr>
              <w:t>freeze_stage1.py（或人工复制+哈希）</w:t>
            </w:r>
          </w:p>
        </w:tc>
        <w:tc>
          <w:tcPr>
            <w:tcW w:type="dxa" w:w="2381"/>
            <w:vAlign w:val="center"/>
          </w:tcPr>
          <w:p>
            <w:pPr>
              <w:spacing w:after="0" w:line="240" w:lineRule="auto"/>
            </w:pPr>
            <w:r/>
            <w:r>
              <w:rPr>
                <w:rFonts w:ascii="Calibri" w:hAnsi="Calibri" w:eastAsia="Microsoft YaHei"/>
                <w:b w:val="0"/>
                <w:sz w:val="16"/>
              </w:rPr>
              <w:t>当前交付目录</w:t>
            </w:r>
          </w:p>
        </w:tc>
        <w:tc>
          <w:tcPr>
            <w:tcW w:type="dxa" w:w="2835"/>
            <w:vAlign w:val="center"/>
          </w:tcPr>
          <w:p>
            <w:pPr>
              <w:spacing w:after="0" w:line="240" w:lineRule="auto"/>
            </w:pPr>
            <w:r/>
            <w:r>
              <w:rPr>
                <w:rFonts w:ascii="Calibri" w:hAnsi="Calibri" w:eastAsia="Microsoft YaHei"/>
                <w:b w:val="0"/>
                <w:sz w:val="16"/>
              </w:rPr>
              <w:t>stage1_frozen/ + manifest</w:t>
            </w:r>
          </w:p>
        </w:tc>
      </w:tr>
      <w:tr>
        <w:trPr>
          <w:cantSplit/>
        </w:trPr>
        <w:tc>
          <w:tcPr>
            <w:tcW w:type="dxa" w:w="567"/>
            <w:vAlign w:val="center"/>
          </w:tcPr>
          <w:p>
            <w:pPr>
              <w:spacing w:after="0" w:line="240" w:lineRule="auto"/>
            </w:pPr>
            <w:r/>
            <w:r>
              <w:rPr>
                <w:rFonts w:ascii="Calibri" w:hAnsi="Calibri" w:eastAsia="Microsoft YaHei"/>
                <w:b w:val="0"/>
                <w:sz w:val="16"/>
              </w:rPr>
              <w:t>2</w:t>
            </w:r>
          </w:p>
        </w:tc>
        <w:tc>
          <w:tcPr>
            <w:tcW w:type="dxa" w:w="3061"/>
            <w:vAlign w:val="center"/>
          </w:tcPr>
          <w:p>
            <w:pPr>
              <w:spacing w:after="0" w:line="240" w:lineRule="auto"/>
            </w:pPr>
            <w:r/>
            <w:r>
              <w:rPr>
                <w:rFonts w:ascii="Calibri" w:hAnsi="Calibri" w:eastAsia="Microsoft YaHei"/>
                <w:b w:val="0"/>
                <w:sz w:val="16"/>
              </w:rPr>
              <w:t>audit_existing_merges.py</w:t>
            </w:r>
          </w:p>
        </w:tc>
        <w:tc>
          <w:tcPr>
            <w:tcW w:type="dxa" w:w="2381"/>
            <w:vAlign w:val="center"/>
          </w:tcPr>
          <w:p>
            <w:pPr>
              <w:spacing w:after="0" w:line="240" w:lineRule="auto"/>
            </w:pPr>
            <w:r/>
            <w:r>
              <w:rPr>
                <w:rFonts w:ascii="Calibri" w:hAnsi="Calibri" w:eastAsia="Microsoft YaHei"/>
                <w:b w:val="0"/>
                <w:sz w:val="16"/>
              </w:rPr>
              <w:t>all_normalization_assignments.csv</w:t>
            </w:r>
          </w:p>
        </w:tc>
        <w:tc>
          <w:tcPr>
            <w:tcW w:type="dxa" w:w="2835"/>
            <w:vAlign w:val="center"/>
          </w:tcPr>
          <w:p>
            <w:pPr>
              <w:spacing w:after="0" w:line="240" w:lineRule="auto"/>
            </w:pPr>
            <w:r/>
            <w:r>
              <w:rPr>
                <w:rFonts w:ascii="Calibri" w:hAnsi="Calibri" w:eastAsia="Microsoft YaHei"/>
                <w:b w:val="0"/>
                <w:sz w:val="16"/>
              </w:rPr>
              <w:t>343 项 merge-affecting review sheet</w:t>
            </w:r>
          </w:p>
        </w:tc>
      </w:tr>
      <w:tr>
        <w:trPr>
          <w:cantSplit/>
        </w:trPr>
        <w:tc>
          <w:tcPr>
            <w:tcW w:type="dxa" w:w="567"/>
            <w:vAlign w:val="center"/>
          </w:tcPr>
          <w:p>
            <w:pPr>
              <w:spacing w:after="0" w:line="240" w:lineRule="auto"/>
            </w:pPr>
            <w:r/>
            <w:r>
              <w:rPr>
                <w:rFonts w:ascii="Calibri" w:hAnsi="Calibri" w:eastAsia="Microsoft YaHei"/>
                <w:b w:val="0"/>
                <w:sz w:val="16"/>
              </w:rPr>
              <w:t>3</w:t>
            </w:r>
          </w:p>
        </w:tc>
        <w:tc>
          <w:tcPr>
            <w:tcW w:type="dxa" w:w="3061"/>
            <w:vAlign w:val="center"/>
          </w:tcPr>
          <w:p>
            <w:pPr>
              <w:spacing w:after="0" w:line="240" w:lineRule="auto"/>
            </w:pPr>
            <w:r/>
            <w:r>
              <w:rPr>
                <w:rFonts w:ascii="Calibri" w:hAnsi="Calibri" w:eastAsia="Microsoft YaHei"/>
                <w:b w:val="0"/>
                <w:sz w:val="16"/>
              </w:rPr>
              <w:t>generate_normalization_candidates.py</w:t>
            </w:r>
          </w:p>
        </w:tc>
        <w:tc>
          <w:tcPr>
            <w:tcW w:type="dxa" w:w="2381"/>
            <w:vAlign w:val="center"/>
          </w:tcPr>
          <w:p>
            <w:pPr>
              <w:spacing w:after="0" w:line="240" w:lineRule="auto"/>
            </w:pPr>
            <w:r/>
            <w:r>
              <w:rPr>
                <w:rFonts w:ascii="Calibri" w:hAnsi="Calibri" w:eastAsia="Microsoft YaHei"/>
                <w:b w:val="0"/>
                <w:sz w:val="16"/>
              </w:rPr>
              <w:t>canonical_concepts.csv + node_evidence.csv</w:t>
            </w:r>
          </w:p>
        </w:tc>
        <w:tc>
          <w:tcPr>
            <w:tcW w:type="dxa" w:w="2835"/>
            <w:vAlign w:val="center"/>
          </w:tcPr>
          <w:p>
            <w:pPr>
              <w:spacing w:after="0" w:line="240" w:lineRule="auto"/>
            </w:pPr>
            <w:r/>
            <w:r>
              <w:rPr>
                <w:rFonts w:ascii="Calibri" w:hAnsi="Calibri" w:eastAsia="Microsoft YaHei"/>
                <w:b w:val="0"/>
                <w:sz w:val="16"/>
              </w:rPr>
              <w:t>同域字面/embedding/结构候选</w:t>
            </w:r>
          </w:p>
        </w:tc>
      </w:tr>
      <w:tr>
        <w:trPr>
          <w:cantSplit/>
        </w:trPr>
        <w:tc>
          <w:tcPr>
            <w:tcW w:type="dxa" w:w="567"/>
            <w:vAlign w:val="center"/>
          </w:tcPr>
          <w:p>
            <w:pPr>
              <w:spacing w:after="0" w:line="240" w:lineRule="auto"/>
            </w:pPr>
            <w:r/>
            <w:r>
              <w:rPr>
                <w:rFonts w:ascii="Calibri" w:hAnsi="Calibri" w:eastAsia="Microsoft YaHei"/>
                <w:b w:val="0"/>
                <w:sz w:val="16"/>
              </w:rPr>
              <w:t>4</w:t>
            </w:r>
          </w:p>
        </w:tc>
        <w:tc>
          <w:tcPr>
            <w:tcW w:type="dxa" w:w="3061"/>
            <w:vAlign w:val="center"/>
          </w:tcPr>
          <w:p>
            <w:pPr>
              <w:spacing w:after="0" w:line="240" w:lineRule="auto"/>
            </w:pPr>
            <w:r/>
            <w:r>
              <w:rPr>
                <w:rFonts w:ascii="Calibri" w:hAnsi="Calibri" w:eastAsia="Microsoft YaHei"/>
                <w:b w:val="0"/>
                <w:sz w:val="16"/>
              </w:rPr>
              <w:t>review_normalization.csv（人工）</w:t>
            </w:r>
          </w:p>
        </w:tc>
        <w:tc>
          <w:tcPr>
            <w:tcW w:type="dxa" w:w="2381"/>
            <w:vAlign w:val="center"/>
          </w:tcPr>
          <w:p>
            <w:pPr>
              <w:spacing w:after="0" w:line="240" w:lineRule="auto"/>
            </w:pPr>
            <w:r/>
            <w:r>
              <w:rPr>
                <w:rFonts w:ascii="Calibri" w:hAnsi="Calibri" w:eastAsia="Microsoft YaHei"/>
                <w:b w:val="0"/>
                <w:sz w:val="16"/>
              </w:rPr>
              <w:t>候选表</w:t>
            </w:r>
          </w:p>
        </w:tc>
        <w:tc>
          <w:tcPr>
            <w:tcW w:type="dxa" w:w="2835"/>
            <w:vAlign w:val="center"/>
          </w:tcPr>
          <w:p>
            <w:pPr>
              <w:spacing w:after="0" w:line="240" w:lineRule="auto"/>
            </w:pPr>
            <w:r/>
            <w:r>
              <w:rPr>
                <w:rFonts w:ascii="Calibri" w:hAnsi="Calibri" w:eastAsia="Microsoft YaHei"/>
                <w:b w:val="0"/>
                <w:sz w:val="16"/>
              </w:rPr>
              <w:t>equivalent/narrower/related/distinct/uncertain 判定</w:t>
            </w:r>
          </w:p>
        </w:tc>
      </w:tr>
      <w:tr>
        <w:trPr>
          <w:cantSplit/>
        </w:trPr>
        <w:tc>
          <w:tcPr>
            <w:tcW w:type="dxa" w:w="567"/>
            <w:vAlign w:val="center"/>
          </w:tcPr>
          <w:p>
            <w:pPr>
              <w:spacing w:after="0" w:line="240" w:lineRule="auto"/>
            </w:pPr>
            <w:r/>
            <w:r>
              <w:rPr>
                <w:rFonts w:ascii="Calibri" w:hAnsi="Calibri" w:eastAsia="Microsoft YaHei"/>
                <w:b w:val="0"/>
                <w:sz w:val="16"/>
              </w:rPr>
              <w:t>5</w:t>
            </w:r>
          </w:p>
        </w:tc>
        <w:tc>
          <w:tcPr>
            <w:tcW w:type="dxa" w:w="3061"/>
            <w:vAlign w:val="center"/>
          </w:tcPr>
          <w:p>
            <w:pPr>
              <w:spacing w:after="0" w:line="240" w:lineRule="auto"/>
            </w:pPr>
            <w:r/>
            <w:r>
              <w:rPr>
                <w:rFonts w:ascii="Calibri" w:hAnsi="Calibri" w:eastAsia="Microsoft YaHei"/>
                <w:b w:val="0"/>
                <w:sz w:val="16"/>
              </w:rPr>
              <w:t>apply_normalization_v2.py</w:t>
            </w:r>
          </w:p>
        </w:tc>
        <w:tc>
          <w:tcPr>
            <w:tcW w:type="dxa" w:w="2381"/>
            <w:vAlign w:val="center"/>
          </w:tcPr>
          <w:p>
            <w:pPr>
              <w:spacing w:after="0" w:line="240" w:lineRule="auto"/>
            </w:pPr>
            <w:r/>
            <w:r>
              <w:rPr>
                <w:rFonts w:ascii="Calibri" w:hAnsi="Calibri" w:eastAsia="Microsoft YaHei"/>
                <w:b w:val="0"/>
                <w:sz w:val="16"/>
              </w:rPr>
              <w:t>人工判定 + v1 evidence</w:t>
            </w:r>
          </w:p>
        </w:tc>
        <w:tc>
          <w:tcPr>
            <w:tcW w:type="dxa" w:w="2835"/>
            <w:vAlign w:val="center"/>
          </w:tcPr>
          <w:p>
            <w:pPr>
              <w:spacing w:after="0" w:line="240" w:lineRule="auto"/>
            </w:pPr>
            <w:r/>
            <w:r>
              <w:rPr>
                <w:rFonts w:ascii="Calibri" w:hAnsi="Calibri" w:eastAsia="Microsoft YaHei"/>
                <w:b w:val="0"/>
                <w:sz w:val="16"/>
              </w:rPr>
              <w:t>concepts_v2 / assignments_v2 / concept_relations_v2</w:t>
            </w:r>
          </w:p>
        </w:tc>
      </w:tr>
      <w:tr>
        <w:trPr>
          <w:cantSplit/>
        </w:trPr>
        <w:tc>
          <w:tcPr>
            <w:tcW w:type="dxa" w:w="567"/>
            <w:vAlign w:val="center"/>
          </w:tcPr>
          <w:p>
            <w:pPr>
              <w:spacing w:after="0" w:line="240" w:lineRule="auto"/>
            </w:pPr>
            <w:r/>
            <w:r>
              <w:rPr>
                <w:rFonts w:ascii="Calibri" w:hAnsi="Calibri" w:eastAsia="Microsoft YaHei"/>
                <w:b w:val="0"/>
                <w:sz w:val="16"/>
              </w:rPr>
              <w:t>6</w:t>
            </w:r>
          </w:p>
        </w:tc>
        <w:tc>
          <w:tcPr>
            <w:tcW w:type="dxa" w:w="3061"/>
            <w:vAlign w:val="center"/>
          </w:tcPr>
          <w:p>
            <w:pPr>
              <w:spacing w:after="0" w:line="240" w:lineRule="auto"/>
            </w:pPr>
            <w:r/>
            <w:r>
              <w:rPr>
                <w:rFonts w:ascii="Calibri" w:hAnsi="Calibri" w:eastAsia="Microsoft YaHei"/>
                <w:b w:val="0"/>
                <w:sz w:val="16"/>
              </w:rPr>
              <w:t>audit_extraction_v2.py + 人工标注</w:t>
            </w:r>
          </w:p>
        </w:tc>
        <w:tc>
          <w:tcPr>
            <w:tcW w:type="dxa" w:w="2381"/>
            <w:vAlign w:val="center"/>
          </w:tcPr>
          <w:p>
            <w:pPr>
              <w:spacing w:after="0" w:line="240" w:lineRule="auto"/>
            </w:pPr>
            <w:r/>
            <w:r>
              <w:rPr>
                <w:rFonts w:ascii="Calibri" w:hAnsi="Calibri" w:eastAsia="Microsoft YaHei"/>
                <w:b w:val="0"/>
                <w:sz w:val="16"/>
              </w:rPr>
              <w:t>分层抽样关系与论文</w:t>
            </w:r>
          </w:p>
        </w:tc>
        <w:tc>
          <w:tcPr>
            <w:tcW w:type="dxa" w:w="2835"/>
            <w:vAlign w:val="center"/>
          </w:tcPr>
          <w:p>
            <w:pPr>
              <w:spacing w:after="0" w:line="240" w:lineRule="auto"/>
            </w:pPr>
            <w:r/>
            <w:r>
              <w:rPr>
                <w:rFonts w:ascii="Calibri" w:hAnsi="Calibri" w:eastAsia="Microsoft YaHei"/>
                <w:b w:val="0"/>
                <w:sz w:val="16"/>
              </w:rPr>
              <w:t>precision/recall/error report</w:t>
            </w:r>
          </w:p>
        </w:tc>
      </w:tr>
      <w:tr>
        <w:trPr>
          <w:cantSplit/>
        </w:trPr>
        <w:tc>
          <w:tcPr>
            <w:tcW w:type="dxa" w:w="567"/>
            <w:vAlign w:val="center"/>
          </w:tcPr>
          <w:p>
            <w:pPr>
              <w:spacing w:after="0" w:line="240" w:lineRule="auto"/>
            </w:pPr>
            <w:r/>
            <w:r>
              <w:rPr>
                <w:rFonts w:ascii="Calibri" w:hAnsi="Calibri" w:eastAsia="Microsoft YaHei"/>
                <w:b w:val="0"/>
                <w:sz w:val="16"/>
              </w:rPr>
              <w:t>7</w:t>
            </w:r>
          </w:p>
        </w:tc>
        <w:tc>
          <w:tcPr>
            <w:tcW w:type="dxa" w:w="3061"/>
            <w:vAlign w:val="center"/>
          </w:tcPr>
          <w:p>
            <w:pPr>
              <w:spacing w:after="0" w:line="240" w:lineRule="auto"/>
            </w:pPr>
            <w:r/>
            <w:r>
              <w:rPr>
                <w:rFonts w:ascii="Calibri" w:hAnsi="Calibri" w:eastAsia="Microsoft YaHei"/>
                <w:b w:val="0"/>
                <w:sz w:val="16"/>
              </w:rPr>
              <w:t>classify_analysis_scope.py</w:t>
            </w:r>
          </w:p>
        </w:tc>
        <w:tc>
          <w:tcPr>
            <w:tcW w:type="dxa" w:w="2381"/>
            <w:vAlign w:val="center"/>
          </w:tcPr>
          <w:p>
            <w:pPr>
              <w:spacing w:after="0" w:line="240" w:lineRule="auto"/>
            </w:pPr>
            <w:r/>
            <w:r>
              <w:rPr>
                <w:rFonts w:ascii="Calibri" w:hAnsi="Calibri" w:eastAsia="Microsoft YaHei"/>
                <w:b w:val="0"/>
                <w:sz w:val="16"/>
              </w:rPr>
              <w:t>concepts_v2 + evidence</w:t>
            </w:r>
          </w:p>
        </w:tc>
        <w:tc>
          <w:tcPr>
            <w:tcW w:type="dxa" w:w="2835"/>
            <w:vAlign w:val="center"/>
          </w:tcPr>
          <w:p>
            <w:pPr>
              <w:spacing w:after="0" w:line="240" w:lineRule="auto"/>
            </w:pPr>
            <w:r/>
            <w:r>
              <w:rPr>
                <w:rFonts w:ascii="Calibri" w:hAnsi="Calibri" w:eastAsia="Microsoft YaHei"/>
                <w:b w:val="0"/>
                <w:sz w:val="16"/>
              </w:rPr>
              <w:t>semantic_role / analysis_scope / article_role</w:t>
            </w:r>
          </w:p>
        </w:tc>
      </w:tr>
      <w:tr>
        <w:trPr>
          <w:cantSplit/>
        </w:trPr>
        <w:tc>
          <w:tcPr>
            <w:tcW w:type="dxa" w:w="567"/>
            <w:vAlign w:val="center"/>
          </w:tcPr>
          <w:p>
            <w:pPr>
              <w:spacing w:after="0" w:line="240" w:lineRule="auto"/>
            </w:pPr>
            <w:r/>
            <w:r>
              <w:rPr>
                <w:rFonts w:ascii="Calibri" w:hAnsi="Calibri" w:eastAsia="Microsoft YaHei"/>
                <w:b w:val="0"/>
                <w:sz w:val="16"/>
              </w:rPr>
              <w:t>8</w:t>
            </w:r>
          </w:p>
        </w:tc>
        <w:tc>
          <w:tcPr>
            <w:tcW w:type="dxa" w:w="3061"/>
            <w:vAlign w:val="center"/>
          </w:tcPr>
          <w:p>
            <w:pPr>
              <w:spacing w:after="0" w:line="240" w:lineRule="auto"/>
            </w:pPr>
            <w:r/>
            <w:r>
              <w:rPr>
                <w:rFonts w:ascii="Calibri" w:hAnsi="Calibri" w:eastAsia="Microsoft YaHei"/>
                <w:b w:val="0"/>
                <w:sz w:val="16"/>
              </w:rPr>
              <w:t>build_domain_graphs_v2.py</w:t>
            </w:r>
          </w:p>
        </w:tc>
        <w:tc>
          <w:tcPr>
            <w:tcW w:type="dxa" w:w="2381"/>
            <w:vAlign w:val="center"/>
          </w:tcPr>
          <w:p>
            <w:pPr>
              <w:spacing w:after="0" w:line="240" w:lineRule="auto"/>
            </w:pPr>
            <w:r/>
            <w:r>
              <w:rPr>
                <w:rFonts w:ascii="Calibri" w:hAnsi="Calibri" w:eastAsia="Microsoft YaHei"/>
                <w:b w:val="0"/>
                <w:sz w:val="16"/>
              </w:rPr>
              <w:t>v2 concepts + relations + scopes</w:t>
            </w:r>
          </w:p>
        </w:tc>
        <w:tc>
          <w:tcPr>
            <w:tcW w:type="dxa" w:w="2835"/>
            <w:vAlign w:val="center"/>
          </w:tcPr>
          <w:p>
            <w:pPr>
              <w:spacing w:after="0" w:line="240" w:lineRule="auto"/>
            </w:pPr>
            <w:r/>
            <w:r>
              <w:rPr>
                <w:rFonts w:ascii="Calibri" w:hAnsi="Calibri" w:eastAsia="Microsoft YaHei"/>
                <w:b w:val="0"/>
                <w:sz w:val="16"/>
              </w:rPr>
              <w:t>iTE/TG GraphML/JSON + stats</w:t>
            </w:r>
          </w:p>
        </w:tc>
      </w:tr>
      <w:tr>
        <w:trPr>
          <w:cantSplit/>
        </w:trPr>
        <w:tc>
          <w:tcPr>
            <w:tcW w:type="dxa" w:w="567"/>
            <w:vAlign w:val="center"/>
          </w:tcPr>
          <w:p>
            <w:pPr>
              <w:spacing w:after="0" w:line="240" w:lineRule="auto"/>
            </w:pPr>
            <w:r/>
            <w:r>
              <w:rPr>
                <w:rFonts w:ascii="Calibri" w:hAnsi="Calibri" w:eastAsia="Microsoft YaHei"/>
                <w:b w:val="0"/>
                <w:sz w:val="16"/>
              </w:rPr>
              <w:t>9</w:t>
            </w:r>
          </w:p>
        </w:tc>
        <w:tc>
          <w:tcPr>
            <w:tcW w:type="dxa" w:w="3061"/>
            <w:vAlign w:val="center"/>
          </w:tcPr>
          <w:p>
            <w:pPr>
              <w:spacing w:after="0" w:line="240" w:lineRule="auto"/>
            </w:pPr>
            <w:r/>
            <w:r>
              <w:rPr>
                <w:rFonts w:ascii="Calibri" w:hAnsi="Calibri" w:eastAsia="Microsoft YaHei"/>
                <w:b w:val="0"/>
                <w:sz w:val="16"/>
              </w:rPr>
              <w:t>analyze_domain_graphs.py</w:t>
            </w:r>
          </w:p>
        </w:tc>
        <w:tc>
          <w:tcPr>
            <w:tcW w:type="dxa" w:w="2381"/>
            <w:vAlign w:val="center"/>
          </w:tcPr>
          <w:p>
            <w:pPr>
              <w:spacing w:after="0" w:line="240" w:lineRule="auto"/>
            </w:pPr>
            <w:r/>
            <w:r>
              <w:rPr>
                <w:rFonts w:ascii="Calibri" w:hAnsi="Calibri" w:eastAsia="Microsoft YaHei"/>
                <w:b w:val="0"/>
                <w:sz w:val="16"/>
              </w:rPr>
              <w:t>两张域内图</w:t>
            </w:r>
          </w:p>
        </w:tc>
        <w:tc>
          <w:tcPr>
            <w:tcW w:type="dxa" w:w="2835"/>
            <w:vAlign w:val="center"/>
          </w:tcPr>
          <w:p>
            <w:pPr>
              <w:spacing w:after="0" w:line="240" w:lineRule="auto"/>
            </w:pPr>
            <w:r/>
            <w:r>
              <w:rPr>
                <w:rFonts w:ascii="Calibri" w:hAnsi="Calibri" w:eastAsia="Microsoft YaHei"/>
                <w:b w:val="0"/>
                <w:sz w:val="16"/>
              </w:rPr>
              <w:t>community / temporal / motif 结果</w:t>
            </w:r>
          </w:p>
        </w:tc>
      </w:tr>
      <w:tr>
        <w:trPr>
          <w:cantSplit/>
        </w:trPr>
        <w:tc>
          <w:tcPr>
            <w:tcW w:type="dxa" w:w="567"/>
            <w:vAlign w:val="center"/>
          </w:tcPr>
          <w:p>
            <w:pPr>
              <w:spacing w:after="0" w:line="240" w:lineRule="auto"/>
            </w:pPr>
            <w:r/>
            <w:r>
              <w:rPr>
                <w:rFonts w:ascii="Calibri" w:hAnsi="Calibri" w:eastAsia="Microsoft YaHei"/>
                <w:b w:val="0"/>
                <w:sz w:val="16"/>
              </w:rPr>
              <w:t>10</w:t>
            </w:r>
          </w:p>
        </w:tc>
        <w:tc>
          <w:tcPr>
            <w:tcW w:type="dxa" w:w="3061"/>
            <w:vAlign w:val="center"/>
          </w:tcPr>
          <w:p>
            <w:pPr>
              <w:spacing w:after="0" w:line="240" w:lineRule="auto"/>
            </w:pPr>
            <w:r/>
            <w:r>
              <w:rPr>
                <w:rFonts w:ascii="Calibri" w:hAnsi="Calibri" w:eastAsia="Microsoft YaHei"/>
                <w:b w:val="0"/>
                <w:sz w:val="16"/>
              </w:rPr>
              <w:t>generate_crossgraph_candidates.py</w:t>
            </w:r>
          </w:p>
        </w:tc>
        <w:tc>
          <w:tcPr>
            <w:tcW w:type="dxa" w:w="2381"/>
            <w:vAlign w:val="center"/>
          </w:tcPr>
          <w:p>
            <w:pPr>
              <w:spacing w:after="0" w:line="240" w:lineRule="auto"/>
            </w:pPr>
            <w:r/>
            <w:r>
              <w:rPr>
                <w:rFonts w:ascii="Calibri" w:hAnsi="Calibri" w:eastAsia="Microsoft YaHei"/>
                <w:b w:val="0"/>
                <w:sz w:val="16"/>
              </w:rPr>
              <w:t>冻结域内图</w:t>
            </w:r>
          </w:p>
        </w:tc>
        <w:tc>
          <w:tcPr>
            <w:tcW w:type="dxa" w:w="2835"/>
            <w:vAlign w:val="center"/>
          </w:tcPr>
          <w:p>
            <w:pPr>
              <w:spacing w:after="0" w:line="240" w:lineRule="auto"/>
            </w:pPr>
            <w:r/>
            <w:r>
              <w:rPr>
                <w:rFonts w:ascii="Calibri" w:hAnsi="Calibri" w:eastAsia="Microsoft YaHei"/>
                <w:b w:val="0"/>
                <w:sz w:val="16"/>
              </w:rPr>
              <w:t>统一候选集合</w:t>
            </w:r>
          </w:p>
        </w:tc>
      </w:tr>
      <w:tr>
        <w:trPr>
          <w:cantSplit/>
        </w:trPr>
        <w:tc>
          <w:tcPr>
            <w:tcW w:type="dxa" w:w="567"/>
            <w:vAlign w:val="center"/>
          </w:tcPr>
          <w:p>
            <w:pPr>
              <w:spacing w:after="0" w:line="240" w:lineRule="auto"/>
            </w:pPr>
            <w:r/>
            <w:r>
              <w:rPr>
                <w:rFonts w:ascii="Calibri" w:hAnsi="Calibri" w:eastAsia="Microsoft YaHei"/>
                <w:b w:val="0"/>
                <w:sz w:val="16"/>
              </w:rPr>
              <w:t>11</w:t>
            </w:r>
          </w:p>
        </w:tc>
        <w:tc>
          <w:tcPr>
            <w:tcW w:type="dxa" w:w="3061"/>
            <w:vAlign w:val="center"/>
          </w:tcPr>
          <w:p>
            <w:pPr>
              <w:spacing w:after="0" w:line="240" w:lineRule="auto"/>
            </w:pPr>
            <w:r/>
            <w:r>
              <w:rPr>
                <w:rFonts w:ascii="Calibri" w:hAnsi="Calibri" w:eastAsia="Microsoft YaHei"/>
                <w:b w:val="0"/>
                <w:sz w:val="16"/>
              </w:rPr>
              <w:t>score_match_methods.py</w:t>
            </w:r>
          </w:p>
        </w:tc>
        <w:tc>
          <w:tcPr>
            <w:tcW w:type="dxa" w:w="2381"/>
            <w:vAlign w:val="center"/>
          </w:tcPr>
          <w:p>
            <w:pPr>
              <w:spacing w:after="0" w:line="240" w:lineRule="auto"/>
            </w:pPr>
            <w:r/>
            <w:r>
              <w:rPr>
                <w:rFonts w:ascii="Calibri" w:hAnsi="Calibri" w:eastAsia="Microsoft YaHei"/>
                <w:b w:val="0"/>
                <w:sz w:val="16"/>
              </w:rPr>
              <w:t>候选 + embeddings + graph features</w:t>
            </w:r>
          </w:p>
        </w:tc>
        <w:tc>
          <w:tcPr>
            <w:tcW w:type="dxa" w:w="2835"/>
            <w:vAlign w:val="center"/>
          </w:tcPr>
          <w:p>
            <w:pPr>
              <w:spacing w:after="0" w:line="240" w:lineRule="auto"/>
            </w:pPr>
            <w:r/>
            <w:r>
              <w:rPr>
                <w:rFonts w:ascii="Calibri" w:hAnsi="Calibri" w:eastAsia="Microsoft YaHei"/>
                <w:b w:val="0"/>
                <w:sz w:val="16"/>
              </w:rPr>
              <w:t>四种方法分项分数</w:t>
            </w:r>
          </w:p>
        </w:tc>
      </w:tr>
      <w:tr>
        <w:trPr>
          <w:cantSplit/>
        </w:trPr>
        <w:tc>
          <w:tcPr>
            <w:tcW w:type="dxa" w:w="567"/>
            <w:vAlign w:val="center"/>
          </w:tcPr>
          <w:p>
            <w:pPr>
              <w:spacing w:after="0" w:line="240" w:lineRule="auto"/>
            </w:pPr>
            <w:r/>
            <w:r>
              <w:rPr>
                <w:rFonts w:ascii="Calibri" w:hAnsi="Calibri" w:eastAsia="Microsoft YaHei"/>
                <w:b w:val="0"/>
                <w:sz w:val="16"/>
              </w:rPr>
              <w:t>12</w:t>
            </w:r>
          </w:p>
        </w:tc>
        <w:tc>
          <w:tcPr>
            <w:tcW w:type="dxa" w:w="3061"/>
            <w:vAlign w:val="center"/>
          </w:tcPr>
          <w:p>
            <w:pPr>
              <w:spacing w:after="0" w:line="240" w:lineRule="auto"/>
            </w:pPr>
            <w:r/>
            <w:r>
              <w:rPr>
                <w:rFonts w:ascii="Calibri" w:hAnsi="Calibri" w:eastAsia="Microsoft YaHei"/>
                <w:b w:val="0"/>
                <w:sz w:val="16"/>
              </w:rPr>
              <w:t>build_blind_eval_set.py / evaluate_matches.py</w:t>
            </w:r>
          </w:p>
        </w:tc>
        <w:tc>
          <w:tcPr>
            <w:tcW w:type="dxa" w:w="2381"/>
            <w:vAlign w:val="center"/>
          </w:tcPr>
          <w:p>
            <w:pPr>
              <w:spacing w:after="0" w:line="240" w:lineRule="auto"/>
            </w:pPr>
            <w:r/>
            <w:r>
              <w:rPr>
                <w:rFonts w:ascii="Calibri" w:hAnsi="Calibri" w:eastAsia="Microsoft YaHei"/>
                <w:b w:val="0"/>
                <w:sz w:val="16"/>
              </w:rPr>
              <w:t>冻结分数 + 人工标签</w:t>
            </w:r>
          </w:p>
        </w:tc>
        <w:tc>
          <w:tcPr>
            <w:tcW w:type="dxa" w:w="2835"/>
            <w:vAlign w:val="center"/>
          </w:tcPr>
          <w:p>
            <w:pPr>
              <w:spacing w:after="0" w:line="240" w:lineRule="auto"/>
            </w:pPr>
            <w:r/>
            <w:r>
              <w:rPr>
                <w:rFonts w:ascii="Calibri" w:hAnsi="Calibri" w:eastAsia="Microsoft YaHei"/>
                <w:b w:val="0"/>
                <w:sz w:val="16"/>
              </w:rPr>
              <w:t>P@K、消融、错误分析</w:t>
            </w:r>
          </w:p>
        </w:tc>
      </w:tr>
    </w:tbl>
    <w:p/>
    <w:p>
      <w:pPr>
        <w:pStyle w:val="Heading2"/>
      </w:pPr>
      <w:r>
        <w:t>建议目录</w:t>
      </w:r>
    </w:p>
    <w:p>
      <w:pPr/>
      <w:r>
        <w:t>corpus/　schema/　stage1_frozen/　normalization_v2/　audit_v2/　graphs_v2/　domain_analysis/　matching/　evaluation/　cases/　runs/</w:t>
      </w:r>
    </w:p>
    <w:p>
      <w:pPr/>
      <w:r>
        <w:t>每次运行写入 run_id、脚本 git/hash、输入文件 hash、模型/embedding 版本、随机种子、时间戳。云端模型输出可能变化，因此所有原始回复和关键中间表必须缓存。</w:t>
      </w:r>
    </w:p>
    <w:p>
      <w:pPr>
        <w:pStyle w:val="Heading1"/>
      </w:pPr>
      <w:r>
        <w:t>9 质量门槛、停止条件与不可越过的推断边界</w:t>
      </w:r>
    </w:p>
    <w:tbl>
      <w:tblPr>
        <w:tblStyle w:val="TableGrid"/>
        <w:tblW w:type="auto" w:w="0"/>
        <w:jc w:val="center"/>
        <w:tblLayout w:type="autofit"/>
        <w:tblLook w:firstColumn="1" w:firstRow="1" w:lastColumn="0" w:lastRow="0" w:noHBand="0" w:noVBand="1" w:val="04A0"/>
      </w:tblPr>
      <w:tblGrid>
        <w:gridCol w:w="3194"/>
        <w:gridCol w:w="3194"/>
        <w:gridCol w:w="3194"/>
      </w:tblGrid>
      <w:tr>
        <w:trPr>
          <w:tblHeader w:val="true"/>
          <w:cantSplit/>
        </w:trPr>
        <w:tc>
          <w:tcPr>
            <w:tcW w:type="dxa" w:w="1701"/>
            <w:vAlign w:val="center"/>
            <w:shd w:fill="D9E1F2"/>
          </w:tcPr>
          <w:p>
            <w:pPr>
              <w:spacing w:after="0" w:line="240" w:lineRule="auto"/>
            </w:pPr>
            <w:r/>
            <w:r>
              <w:rPr>
                <w:rFonts w:ascii="Calibri" w:hAnsi="Calibri" w:eastAsia="Microsoft YaHei"/>
                <w:b/>
                <w:sz w:val="17"/>
              </w:rPr>
              <w:t>阶段</w:t>
            </w:r>
          </w:p>
        </w:tc>
        <w:tc>
          <w:tcPr>
            <w:tcW w:type="dxa" w:w="3969"/>
            <w:vAlign w:val="center"/>
            <w:shd w:fill="D9E1F2"/>
          </w:tcPr>
          <w:p>
            <w:pPr>
              <w:spacing w:after="0" w:line="240" w:lineRule="auto"/>
            </w:pPr>
            <w:r/>
            <w:r>
              <w:rPr>
                <w:rFonts w:ascii="Calibri" w:hAnsi="Calibri" w:eastAsia="Microsoft YaHei"/>
                <w:b/>
                <w:sz w:val="17"/>
              </w:rPr>
              <w:t>Go 条件</w:t>
            </w:r>
          </w:p>
        </w:tc>
        <w:tc>
          <w:tcPr>
            <w:tcW w:type="dxa" w:w="2835"/>
            <w:vAlign w:val="center"/>
            <w:shd w:fill="D9E1F2"/>
          </w:tcPr>
          <w:p>
            <w:pPr>
              <w:spacing w:after="0" w:line="240" w:lineRule="auto"/>
            </w:pPr>
            <w:r/>
            <w:r>
              <w:rPr>
                <w:rFonts w:ascii="Calibri" w:hAnsi="Calibri" w:eastAsia="Microsoft YaHei"/>
                <w:b/>
                <w:sz w:val="17"/>
              </w:rPr>
              <w:t>未满足时</w:t>
            </w:r>
          </w:p>
        </w:tc>
      </w:tr>
      <w:tr>
        <w:trPr>
          <w:cantSplit/>
        </w:trPr>
        <w:tc>
          <w:tcPr>
            <w:tcW w:type="dxa" w:w="1701"/>
            <w:vAlign w:val="center"/>
          </w:tcPr>
          <w:p>
            <w:pPr>
              <w:spacing w:after="0" w:line="240" w:lineRule="auto"/>
            </w:pPr>
            <w:r/>
            <w:r>
              <w:rPr>
                <w:rFonts w:ascii="Calibri" w:hAnsi="Calibri" w:eastAsia="Microsoft YaHei"/>
                <w:b w:val="0"/>
                <w:sz w:val="17"/>
              </w:rPr>
              <w:t>Stage 2 → Stage 3</w:t>
            </w:r>
          </w:p>
        </w:tc>
        <w:tc>
          <w:tcPr>
            <w:tcW w:type="dxa" w:w="3969"/>
            <w:vAlign w:val="center"/>
          </w:tcPr>
          <w:p>
            <w:pPr>
              <w:spacing w:after="0" w:line="240" w:lineRule="auto"/>
            </w:pPr>
            <w:r/>
            <w:r>
              <w:rPr>
                <w:rFonts w:ascii="Calibri" w:hAnsi="Calibri" w:eastAsia="Microsoft YaHei"/>
                <w:b w:val="0"/>
                <w:sz w:val="17"/>
              </w:rPr>
              <w:t>引文定位通过；关系精确率/核心召回达到管理门槛；高影响 merge 经复核</w:t>
            </w:r>
          </w:p>
        </w:tc>
        <w:tc>
          <w:tcPr>
            <w:tcW w:type="dxa" w:w="2835"/>
            <w:vAlign w:val="center"/>
          </w:tcPr>
          <w:p>
            <w:pPr>
              <w:spacing w:after="0" w:line="240" w:lineRule="auto"/>
            </w:pPr>
            <w:r/>
            <w:r>
              <w:rPr>
                <w:rFonts w:ascii="Calibri" w:hAnsi="Calibri" w:eastAsia="Microsoft YaHei"/>
                <w:b w:val="0"/>
                <w:sz w:val="17"/>
              </w:rPr>
              <w:t>只修订错误集中的关系类型/批次，不扩大分析结论</w:t>
            </w:r>
          </w:p>
        </w:tc>
      </w:tr>
      <w:tr>
        <w:trPr>
          <w:cantSplit/>
        </w:trPr>
        <w:tc>
          <w:tcPr>
            <w:tcW w:type="dxa" w:w="1701"/>
            <w:vAlign w:val="center"/>
          </w:tcPr>
          <w:p>
            <w:pPr>
              <w:spacing w:after="0" w:line="240" w:lineRule="auto"/>
            </w:pPr>
            <w:r/>
            <w:r>
              <w:rPr>
                <w:rFonts w:ascii="Calibri" w:hAnsi="Calibri" w:eastAsia="Microsoft YaHei"/>
                <w:b w:val="0"/>
                <w:sz w:val="17"/>
              </w:rPr>
              <w:t>Stage 3 → Stage 4</w:t>
            </w:r>
          </w:p>
        </w:tc>
        <w:tc>
          <w:tcPr>
            <w:tcW w:type="dxa" w:w="3969"/>
            <w:vAlign w:val="center"/>
          </w:tcPr>
          <w:p>
            <w:pPr>
              <w:spacing w:after="0" w:line="240" w:lineRule="auto"/>
            </w:pPr>
            <w:r/>
            <w:r>
              <w:rPr>
                <w:rFonts w:ascii="Calibri" w:hAnsi="Calibri" w:eastAsia="Microsoft YaHei"/>
                <w:b w:val="0"/>
                <w:sz w:val="17"/>
              </w:rPr>
              <w:t>两张图谱版本冻结；核心 hub/高支持度概念有审计记录</w:t>
            </w:r>
          </w:p>
        </w:tc>
        <w:tc>
          <w:tcPr>
            <w:tcW w:type="dxa" w:w="2835"/>
            <w:vAlign w:val="center"/>
          </w:tcPr>
          <w:p>
            <w:pPr>
              <w:spacing w:after="0" w:line="240" w:lineRule="auto"/>
            </w:pPr>
            <w:r/>
            <w:r>
              <w:rPr>
                <w:rFonts w:ascii="Calibri" w:hAnsi="Calibri" w:eastAsia="Microsoft YaHei"/>
                <w:b w:val="0"/>
                <w:sz w:val="17"/>
              </w:rPr>
              <w:t>继续 normalization/role 修订，不做跨域排名</w:t>
            </w:r>
          </w:p>
        </w:tc>
      </w:tr>
      <w:tr>
        <w:trPr>
          <w:cantSplit/>
        </w:trPr>
        <w:tc>
          <w:tcPr>
            <w:tcW w:type="dxa" w:w="1701"/>
            <w:vAlign w:val="center"/>
          </w:tcPr>
          <w:p>
            <w:pPr>
              <w:spacing w:after="0" w:line="240" w:lineRule="auto"/>
            </w:pPr>
            <w:r/>
            <w:r>
              <w:rPr>
                <w:rFonts w:ascii="Calibri" w:hAnsi="Calibri" w:eastAsia="Microsoft YaHei"/>
                <w:b w:val="0"/>
                <w:sz w:val="17"/>
              </w:rPr>
              <w:t>Stage 4 → Stage 5</w:t>
            </w:r>
          </w:p>
        </w:tc>
        <w:tc>
          <w:tcPr>
            <w:tcW w:type="dxa" w:w="3969"/>
            <w:vAlign w:val="center"/>
          </w:tcPr>
          <w:p>
            <w:pPr>
              <w:spacing w:after="0" w:line="240" w:lineRule="auto"/>
            </w:pPr>
            <w:r/>
            <w:r>
              <w:rPr>
                <w:rFonts w:ascii="Calibri" w:hAnsi="Calibri" w:eastAsia="Microsoft YaHei"/>
                <w:b w:val="0"/>
                <w:sz w:val="17"/>
              </w:rPr>
              <w:t>至少一种关系/结构方法在多个切片上显示稳定且可解释的增益，或产生高质量可复核候选</w:t>
            </w:r>
          </w:p>
        </w:tc>
        <w:tc>
          <w:tcPr>
            <w:tcW w:type="dxa" w:w="2835"/>
            <w:vAlign w:val="center"/>
          </w:tcPr>
          <w:p>
            <w:pPr>
              <w:spacing w:after="0" w:line="240" w:lineRule="auto"/>
            </w:pPr>
            <w:r/>
            <w:r>
              <w:rPr>
                <w:rFonts w:ascii="Calibri" w:hAnsi="Calibri" w:eastAsia="Microsoft YaHei"/>
                <w:b w:val="0"/>
                <w:sz w:val="17"/>
              </w:rPr>
              <w:t>保留语义基线作为有效结果；分析结构不增益的原因</w:t>
            </w:r>
          </w:p>
        </w:tc>
      </w:tr>
      <w:tr>
        <w:trPr>
          <w:cantSplit/>
        </w:trPr>
        <w:tc>
          <w:tcPr>
            <w:tcW w:type="dxa" w:w="1701"/>
            <w:vAlign w:val="center"/>
          </w:tcPr>
          <w:p>
            <w:pPr>
              <w:spacing w:after="0" w:line="240" w:lineRule="auto"/>
            </w:pPr>
            <w:r/>
            <w:r>
              <w:rPr>
                <w:rFonts w:ascii="Calibri" w:hAnsi="Calibri" w:eastAsia="Microsoft YaHei"/>
                <w:b w:val="0"/>
                <w:sz w:val="17"/>
              </w:rPr>
              <w:t>Stage 5 → 实验假设</w:t>
            </w:r>
          </w:p>
        </w:tc>
        <w:tc>
          <w:tcPr>
            <w:tcW w:type="dxa" w:w="3969"/>
            <w:vAlign w:val="center"/>
          </w:tcPr>
          <w:p>
            <w:pPr>
              <w:spacing w:after="0" w:line="240" w:lineRule="auto"/>
            </w:pPr>
            <w:r/>
            <w:r>
              <w:rPr>
                <w:rFonts w:ascii="Calibri" w:hAnsi="Calibri" w:eastAsia="Microsoft YaHei"/>
                <w:b w:val="0"/>
                <w:sz w:val="17"/>
              </w:rPr>
              <w:t>全文支持、条件无明显冲突、有可区分的控制变量与测量指标</w:t>
            </w:r>
          </w:p>
        </w:tc>
        <w:tc>
          <w:tcPr>
            <w:tcW w:type="dxa" w:w="2835"/>
            <w:vAlign w:val="center"/>
          </w:tcPr>
          <w:p>
            <w:pPr>
              <w:spacing w:after="0" w:line="240" w:lineRule="auto"/>
            </w:pPr>
            <w:r/>
            <w:r>
              <w:rPr>
                <w:rFonts w:ascii="Calibri" w:hAnsi="Calibri" w:eastAsia="Microsoft YaHei"/>
                <w:b w:val="0"/>
                <w:sz w:val="17"/>
              </w:rPr>
              <w:t>只报告为结构/语义匹配，不包装成材料创新</w:t>
            </w:r>
          </w:p>
        </w:tc>
      </w:tr>
    </w:tbl>
    <w:p/>
    <w:p>
      <w:pPr/>
      <w:r>
        <w:t>任何阶段都不得把“高频”“高中心性”“高匹配分数”直接解释为“更重要、更好或更可迁移”。图指标首先是描述性证据，科学结论必须回到原文和物理条件。</w:t>
      </w:r>
    </w:p>
    <w:p>
      <w:pPr>
        <w:pStyle w:val="Heading1"/>
      </w:pPr>
      <w:r>
        <w:t>10 论文组织与图表设计（首篇工作）</w:t>
      </w:r>
    </w:p>
    <w:p>
      <w:pPr/>
      <w:r>
        <w:t>首篇论文建议围绕“证据化双机制图谱 + 受控跨图匹配”组织，而不是把全部工作压缩成一个 alignment benchmark。域内机制 landscape 本身应成为独立结果部分。</w:t>
      </w:r>
    </w:p>
    <w:tbl>
      <w:tblPr>
        <w:tblStyle w:val="TableGrid"/>
        <w:tblW w:type="auto" w:w="0"/>
        <w:jc w:val="center"/>
        <w:tblLayout w:type="autofit"/>
        <w:tblLook w:firstColumn="1" w:firstRow="1" w:lastColumn="0" w:lastRow="0" w:noHBand="0" w:noVBand="1" w:val="04A0"/>
      </w:tblPr>
      <w:tblGrid>
        <w:gridCol w:w="4791"/>
        <w:gridCol w:w="4791"/>
      </w:tblGrid>
      <w:tr>
        <w:trPr>
          <w:tblHeader w:val="true"/>
          <w:cantSplit/>
        </w:trPr>
        <w:tc>
          <w:tcPr>
            <w:tcW w:type="dxa" w:w="1701"/>
            <w:vAlign w:val="center"/>
            <w:shd w:fill="D9E1F2"/>
          </w:tcPr>
          <w:p>
            <w:pPr>
              <w:spacing w:after="0" w:line="240" w:lineRule="auto"/>
            </w:pPr>
            <w:r/>
            <w:r>
              <w:rPr>
                <w:rFonts w:ascii="Calibri" w:hAnsi="Calibri" w:eastAsia="Microsoft YaHei"/>
                <w:b/>
                <w:sz w:val="17"/>
              </w:rPr>
              <w:t>图/表</w:t>
            </w:r>
          </w:p>
        </w:tc>
        <w:tc>
          <w:tcPr>
            <w:tcW w:type="dxa" w:w="6803"/>
            <w:vAlign w:val="center"/>
            <w:shd w:fill="D9E1F2"/>
          </w:tcPr>
          <w:p>
            <w:pPr>
              <w:spacing w:after="0" w:line="240" w:lineRule="auto"/>
            </w:pPr>
            <w:r/>
            <w:r>
              <w:rPr>
                <w:rFonts w:ascii="Calibri" w:hAnsi="Calibri" w:eastAsia="Microsoft YaHei"/>
                <w:b/>
                <w:sz w:val="17"/>
              </w:rPr>
              <w:t>建议内容</w:t>
            </w:r>
          </w:p>
        </w:tc>
      </w:tr>
      <w:tr>
        <w:trPr>
          <w:cantSplit/>
        </w:trPr>
        <w:tc>
          <w:tcPr>
            <w:tcW w:type="dxa" w:w="1701"/>
            <w:vAlign w:val="center"/>
          </w:tcPr>
          <w:p>
            <w:pPr>
              <w:spacing w:after="0" w:line="240" w:lineRule="auto"/>
            </w:pPr>
            <w:r/>
            <w:r>
              <w:rPr>
                <w:rFonts w:ascii="Calibri" w:hAnsi="Calibri" w:eastAsia="Microsoft YaHei"/>
                <w:b w:val="0"/>
                <w:sz w:val="17"/>
              </w:rPr>
              <w:t>Fig. 1</w:t>
            </w:r>
          </w:p>
        </w:tc>
        <w:tc>
          <w:tcPr>
            <w:tcW w:type="dxa" w:w="6803"/>
            <w:vAlign w:val="center"/>
          </w:tcPr>
          <w:p>
            <w:pPr>
              <w:spacing w:after="0" w:line="240" w:lineRule="auto"/>
            </w:pPr>
            <w:r/>
            <w:r>
              <w:rPr>
                <w:rFonts w:ascii="Calibri" w:hAnsi="Calibri" w:eastAsia="Microsoft YaHei"/>
                <w:b w:val="0"/>
                <w:sz w:val="17"/>
              </w:rPr>
              <w:t>语料 → evidence extraction → concept normalization → 独立 iTE/TG mechanism graphs → cross-graph matching → full-text validation 工作流</w:t>
            </w:r>
          </w:p>
        </w:tc>
      </w:tr>
      <w:tr>
        <w:trPr>
          <w:cantSplit/>
        </w:trPr>
        <w:tc>
          <w:tcPr>
            <w:tcW w:type="dxa" w:w="1701"/>
            <w:vAlign w:val="center"/>
          </w:tcPr>
          <w:p>
            <w:pPr>
              <w:spacing w:after="0" w:line="240" w:lineRule="auto"/>
            </w:pPr>
            <w:r/>
            <w:r>
              <w:rPr>
                <w:rFonts w:ascii="Calibri" w:hAnsi="Calibri" w:eastAsia="Microsoft YaHei"/>
                <w:b w:val="0"/>
                <w:sz w:val="17"/>
              </w:rPr>
              <w:t>Fig. 2</w:t>
            </w:r>
          </w:p>
        </w:tc>
        <w:tc>
          <w:tcPr>
            <w:tcW w:type="dxa" w:w="6803"/>
            <w:vAlign w:val="center"/>
          </w:tcPr>
          <w:p>
            <w:pPr>
              <w:spacing w:after="0" w:line="240" w:lineRule="auto"/>
            </w:pPr>
            <w:r/>
            <w:r>
              <w:rPr>
                <w:rFonts w:ascii="Calibri" w:hAnsi="Calibri" w:eastAsia="Microsoft YaHei"/>
                <w:b w:val="0"/>
                <w:sz w:val="17"/>
              </w:rPr>
              <w:t>两域语料覆盖、证据类型、semantic_role 与 analysis_scope 分布；明确 core-claim 非穷尽</w:t>
            </w:r>
          </w:p>
        </w:tc>
      </w:tr>
      <w:tr>
        <w:trPr>
          <w:cantSplit/>
        </w:trPr>
        <w:tc>
          <w:tcPr>
            <w:tcW w:type="dxa" w:w="1701"/>
            <w:vAlign w:val="center"/>
          </w:tcPr>
          <w:p>
            <w:pPr>
              <w:spacing w:after="0" w:line="240" w:lineRule="auto"/>
            </w:pPr>
            <w:r/>
            <w:r>
              <w:rPr>
                <w:rFonts w:ascii="Calibri" w:hAnsi="Calibri" w:eastAsia="Microsoft YaHei"/>
                <w:b w:val="0"/>
                <w:sz w:val="17"/>
              </w:rPr>
              <w:t>Fig. 3</w:t>
            </w:r>
          </w:p>
        </w:tc>
        <w:tc>
          <w:tcPr>
            <w:tcW w:type="dxa" w:w="6803"/>
            <w:vAlign w:val="center"/>
          </w:tcPr>
          <w:p>
            <w:pPr>
              <w:spacing w:after="0" w:line="240" w:lineRule="auto"/>
            </w:pPr>
            <w:r/>
            <w:r>
              <w:rPr>
                <w:rFonts w:ascii="Calibri" w:hAnsi="Calibri" w:eastAsia="Microsoft YaHei"/>
                <w:b w:val="0"/>
                <w:sz w:val="17"/>
              </w:rPr>
              <w:t>iTE mechanism landscape：社区、核心关系、时间演化或代表性 motif</w:t>
            </w:r>
          </w:p>
        </w:tc>
      </w:tr>
      <w:tr>
        <w:trPr>
          <w:cantSplit/>
        </w:trPr>
        <w:tc>
          <w:tcPr>
            <w:tcW w:type="dxa" w:w="1701"/>
            <w:vAlign w:val="center"/>
          </w:tcPr>
          <w:p>
            <w:pPr>
              <w:spacing w:after="0" w:line="240" w:lineRule="auto"/>
            </w:pPr>
            <w:r/>
            <w:r>
              <w:rPr>
                <w:rFonts w:ascii="Calibri" w:hAnsi="Calibri" w:eastAsia="Microsoft YaHei"/>
                <w:b w:val="0"/>
                <w:sz w:val="17"/>
              </w:rPr>
              <w:t>Fig. 4</w:t>
            </w:r>
          </w:p>
        </w:tc>
        <w:tc>
          <w:tcPr>
            <w:tcW w:type="dxa" w:w="6803"/>
            <w:vAlign w:val="center"/>
          </w:tcPr>
          <w:p>
            <w:pPr>
              <w:spacing w:after="0" w:line="240" w:lineRule="auto"/>
            </w:pPr>
            <w:r/>
            <w:r>
              <w:rPr>
                <w:rFonts w:ascii="Calibri" w:hAnsi="Calibri" w:eastAsia="Microsoft YaHei"/>
                <w:b w:val="0"/>
                <w:sz w:val="17"/>
              </w:rPr>
              <w:t>TG mechanism landscape：与 Fig.3 使用同一分析语法，但不强行同一类别</w:t>
            </w:r>
          </w:p>
        </w:tc>
      </w:tr>
      <w:tr>
        <w:trPr>
          <w:cantSplit/>
        </w:trPr>
        <w:tc>
          <w:tcPr>
            <w:tcW w:type="dxa" w:w="1701"/>
            <w:vAlign w:val="center"/>
          </w:tcPr>
          <w:p>
            <w:pPr>
              <w:spacing w:after="0" w:line="240" w:lineRule="auto"/>
            </w:pPr>
            <w:r/>
            <w:r>
              <w:rPr>
                <w:rFonts w:ascii="Calibri" w:hAnsi="Calibri" w:eastAsia="Microsoft YaHei"/>
                <w:b w:val="0"/>
                <w:sz w:val="17"/>
              </w:rPr>
              <w:t>Fig. 5</w:t>
            </w:r>
          </w:p>
        </w:tc>
        <w:tc>
          <w:tcPr>
            <w:tcW w:type="dxa" w:w="6803"/>
            <w:vAlign w:val="center"/>
          </w:tcPr>
          <w:p>
            <w:pPr>
              <w:spacing w:after="0" w:line="240" w:lineRule="auto"/>
            </w:pPr>
            <w:r/>
            <w:r>
              <w:rPr>
                <w:rFonts w:ascii="Calibri" w:hAnsi="Calibri" w:eastAsia="Microsoft YaHei"/>
                <w:b w:val="0"/>
                <w:sz w:val="17"/>
              </w:rPr>
              <w:t>跨图匹配方法比较：semantic vs relation-constrained vs neighborhood；P@K + 消融 + 错误类型</w:t>
            </w:r>
          </w:p>
        </w:tc>
      </w:tr>
      <w:tr>
        <w:trPr>
          <w:cantSplit/>
        </w:trPr>
        <w:tc>
          <w:tcPr>
            <w:tcW w:type="dxa" w:w="1701"/>
            <w:vAlign w:val="center"/>
          </w:tcPr>
          <w:p>
            <w:pPr>
              <w:spacing w:after="0" w:line="240" w:lineRule="auto"/>
            </w:pPr>
            <w:r/>
            <w:r>
              <w:rPr>
                <w:rFonts w:ascii="Calibri" w:hAnsi="Calibri" w:eastAsia="Microsoft YaHei"/>
                <w:b w:val="0"/>
                <w:sz w:val="17"/>
              </w:rPr>
              <w:t>Fig. 6</w:t>
            </w:r>
          </w:p>
        </w:tc>
        <w:tc>
          <w:tcPr>
            <w:tcW w:type="dxa" w:w="6803"/>
            <w:vAlign w:val="center"/>
          </w:tcPr>
          <w:p>
            <w:pPr>
              <w:spacing w:after="0" w:line="240" w:lineRule="auto"/>
            </w:pPr>
            <w:r/>
            <w:r>
              <w:rPr>
                <w:rFonts w:ascii="Calibri" w:hAnsi="Calibri" w:eastAsia="Microsoft YaHei"/>
                <w:b w:val="0"/>
                <w:sz w:val="17"/>
              </w:rPr>
              <w:t>3–5 个案例的 evidence chain：matched / partial / conflict / failed mapping</w:t>
            </w:r>
          </w:p>
        </w:tc>
      </w:tr>
      <w:tr>
        <w:trPr>
          <w:cantSplit/>
        </w:trPr>
        <w:tc>
          <w:tcPr>
            <w:tcW w:type="dxa" w:w="1701"/>
            <w:vAlign w:val="center"/>
          </w:tcPr>
          <w:p>
            <w:pPr>
              <w:spacing w:after="0" w:line="240" w:lineRule="auto"/>
            </w:pPr>
            <w:r/>
            <w:r>
              <w:rPr>
                <w:rFonts w:ascii="Calibri" w:hAnsi="Calibri" w:eastAsia="Microsoft YaHei"/>
                <w:b w:val="0"/>
                <w:sz w:val="17"/>
              </w:rPr>
              <w:t>Table 1</w:t>
            </w:r>
          </w:p>
        </w:tc>
        <w:tc>
          <w:tcPr>
            <w:tcW w:type="dxa" w:w="6803"/>
            <w:vAlign w:val="center"/>
          </w:tcPr>
          <w:p>
            <w:pPr>
              <w:spacing w:after="0" w:line="240" w:lineRule="auto"/>
            </w:pPr>
            <w:r/>
            <w:r>
              <w:rPr>
                <w:rFonts w:ascii="Calibri" w:hAnsi="Calibri" w:eastAsia="Microsoft YaHei"/>
                <w:b w:val="0"/>
                <w:sz w:val="17"/>
              </w:rPr>
              <w:t>语料、抽取、归一化与人工审计统计</w:t>
            </w:r>
          </w:p>
        </w:tc>
      </w:tr>
      <w:tr>
        <w:trPr>
          <w:cantSplit/>
        </w:trPr>
        <w:tc>
          <w:tcPr>
            <w:tcW w:type="dxa" w:w="1701"/>
            <w:vAlign w:val="center"/>
          </w:tcPr>
          <w:p>
            <w:pPr>
              <w:spacing w:after="0" w:line="240" w:lineRule="auto"/>
            </w:pPr>
            <w:r/>
            <w:r>
              <w:rPr>
                <w:rFonts w:ascii="Calibri" w:hAnsi="Calibri" w:eastAsia="Microsoft YaHei"/>
                <w:b w:val="0"/>
                <w:sz w:val="17"/>
              </w:rPr>
              <w:t>Table 2</w:t>
            </w:r>
          </w:p>
        </w:tc>
        <w:tc>
          <w:tcPr>
            <w:tcW w:type="dxa" w:w="6803"/>
            <w:vAlign w:val="center"/>
          </w:tcPr>
          <w:p>
            <w:pPr>
              <w:spacing w:after="0" w:line="240" w:lineRule="auto"/>
            </w:pPr>
            <w:r/>
            <w:r>
              <w:rPr>
                <w:rFonts w:ascii="Calibri" w:hAnsi="Calibri" w:eastAsia="Microsoft YaHei"/>
                <w:b w:val="0"/>
                <w:sz w:val="17"/>
              </w:rPr>
              <w:t>匹配评价集、标签定义与结果</w:t>
            </w:r>
          </w:p>
        </w:tc>
      </w:tr>
    </w:tbl>
    <w:p/>
    <w:p>
      <w:pPr/>
      <w:r>
        <w:t>数值性能数据库、全文条件图谱、两跳以上子图学习式对齐、前瞻时间回测及实验验证可作为后续扩展。若首轮结构信息没有稳定超过语义基线，应如实报告负结果，并把原因归结到图稀疏、条件缺失或概念归一化不足，而不是立即堆叠 GNN。</w:t>
      </w:r>
    </w:p>
    <w:p>
      <w:r>
        <w:br w:type="page"/>
      </w:r>
    </w:p>
    <w:p>
      <w:pPr>
        <w:pStyle w:val="Heading1"/>
      </w:pPr>
      <w:r>
        <w:t>11 参考依据</w:t>
      </w:r>
    </w:p>
    <w:p>
      <w:pPr/>
      <w:r>
        <w:t>［1］Stewart I. A., Hage T. P., Hsu Y. C., Buehler M. J. GraphAgents: Knowledge Graph-Guided Agentic AI for Cross-Domain Materials Design. arXiv:2602.07491, 2026。用于跨领域知识图谱辅助设计的方法背景。</w:t>
      </w:r>
    </w:p>
    <w:p>
      <w:pPr/>
      <w:r>
        <w:t>［2］Fang X. 等. Beyond Entity Alignment: Towards Complete Knowledge Graph Alignment via Entity-Relation Synergy. arXiv:2407.17745, 2024。用于实体与关系联合对齐的后续参考。</w:t>
      </w:r>
    </w:p>
    <w:p>
      <w:pPr/>
      <w:r>
        <w:t>［3］Cai Y. 等. SimGRAG: Leveraging Similar Subgraphs for Knowledge Graphs Driven Retrieval-Augmented Generation. Findings of ACL, 2025, 3139–3158。用于语义与局部图结构检索的方法参考；原任务与本研究不同。</w:t>
      </w:r>
    </w:p>
    <w:p>
      <w:pPr/>
      <w:r>
        <w:t>［4］OpenAI. Codex non-interactive mode / authentication documentation。用于既有批处理流程和运行版本记录；正式运行以账号当时可用配置为准。</w:t>
      </w:r>
    </w:p>
    <w:p>
      <w:pPr/>
      <w:r>
        <w:t>［5］OpenAI. Codex pricing / usage documentation。订阅额度和可用模型可能变化，不把吞吐作为固定方法参数。</w:t>
      </w:r>
    </w:p>
    <w:p>
      <w:pPr/>
      <w:r>
        <w:t>［6］cleaned_ite_tg/README.md、AGENTS.md、manifest.json 与 verify.py。用于默认语料、去重、缺摘要记录与追溯约束。</w:t>
      </w:r>
    </w:p>
    <w:p>
      <w:pPr/>
      <w:r>
        <w:t>［7］当前 Stage 1 交付：当前会话抽取结果.txt、paper_coverage.csv、node_evidence.csv、relation_evidence.csv、canonical_concepts.csv、all_normalization_assignments.csv、两域 terminology_v1 图及 validation/manifest 文件。用于本版本研究方案的实际执行起点。</w:t>
      </w:r>
    </w:p>
    <w:p>
      <w:pPr>
        <w:pStyle w:val="Heading1"/>
      </w:pPr>
      <w:r>
        <w:t>12 开始运行前的最小检查清单</w:t>
      </w:r>
    </w:p>
    <w:p>
      <w:pPr>
        <w:ind w:left="312" w:hanging="170"/>
      </w:pPr>
      <w:r>
        <w:t>• Stage 1 文件已复制为只读快照并记录哈希；原始 evidence ID 不再变化。</w:t>
      </w:r>
    </w:p>
    <w:p>
      <w:pPr>
        <w:ind w:left="312" w:hanging="170"/>
      </w:pPr>
      <w:r>
        <w:t>• 343 个既有 merge-affecting 决定已导出为人工复核表。</w:t>
      </w:r>
    </w:p>
    <w:p>
      <w:pPr>
        <w:ind w:left="312" w:hanging="170"/>
      </w:pPr>
      <w:r>
        <w:t>• semantic_role、analysis_scope、claim_type、article_role 的枚举和值定义已冻结为 v2。</w:t>
      </w:r>
    </w:p>
    <w:p>
      <w:pPr>
        <w:ind w:left="312" w:hanging="170"/>
      </w:pPr>
      <w:r>
        <w:t>• 归一化候选生成只在域内运行；跨域 alignment 不回写域内 concept ID。</w:t>
      </w:r>
    </w:p>
    <w:p>
      <w:pPr>
        <w:ind w:left="312" w:hanging="170"/>
      </w:pPr>
      <w:r>
        <w:t>• 质量审计样本在查看匹配结果前冻结，人工参考标注与模型输出分离。</w:t>
      </w:r>
    </w:p>
    <w:p>
      <w:pPr>
        <w:ind w:left="312" w:hanging="170"/>
      </w:pPr>
      <w:r>
        <w:t>• 两张域内图谱各自完成并冻结后，才开始 cross-graph candidate generation。</w:t>
      </w:r>
    </w:p>
    <w:p>
      <w:pPr>
        <w:ind w:left="312" w:hanging="170"/>
      </w:pPr>
      <w:r>
        <w:t>• 所有图统计以独立论文支持数为主要权重；单篇多 mention 不重复放大。</w:t>
      </w:r>
    </w:p>
    <w:p>
      <w:pPr>
        <w:ind w:left="312" w:hanging="170"/>
      </w:pPr>
      <w:r>
        <w:t>• 任何跨图候选都能回到双方原文 quote；信息不足与条件冲突单独记录。</w:t>
      </w:r>
    </w:p>
    <w:p>
      <w:pPr>
        <w:ind w:left="312" w:hanging="170"/>
      </w:pPr>
      <w:r>
        <w:t>• 最终结论明确区分 evidence validity、relation match、condition compatibility、scientific transferability。</w:t>
      </w:r>
    </w:p>
    <w:sectPr w:rsidR="00FC693F" w:rsidRPr="0006063C" w:rsidSect="00034616">
      <w:headerReference w:type="default" r:id="rId9"/>
      <w:footerReference w:type="default" r:id="rId10"/>
      <w:pgSz w:w="11906" w:h="16838"/>
      <w:pgMar w:top="1049" w:right="1162" w:bottom="1020" w:left="116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iTE 与 TG 双知识图谱研究方案｜可执行版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00"/>
    </w:pPr>
    <w:rPr>
      <w:rFonts w:ascii="Calibri" w:hAnsi="Calibri" w:eastAsia="Microsoft YaHei"/>
      <w:b w:val="0"/>
      <w:color w:val="000000"/>
      <w:sz w:val="21"/>
      <w:lang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9" w:lineRule="auto"/>
      <w:outlineLvl w:val="0"/>
    </w:pPr>
    <w:rPr>
      <w:rFonts w:ascii="Calibri" w:hAnsi="Calibri" w:eastAsia="Microsoft YaHei"/>
      <w:b/>
      <w:bCs/>
      <w:color w:val="000000"/>
      <w:sz w:val="28"/>
      <w:szCs w:val="28"/>
      <w:lang w:eastAsia="zh-CN"/>
    </w:rPr>
  </w:style>
  <w:style w:type="paragraph" w:styleId="Heading2">
    <w:name w:val="heading 2"/>
    <w:basedOn w:val="Normal"/>
    <w:next w:val="Normal"/>
    <w:link w:val="Heading2Char"/>
    <w:uiPriority w:val="9"/>
    <w:unhideWhenUsed/>
    <w:qFormat/>
    <w:rsid w:val="00FC693F"/>
    <w:pPr>
      <w:keepNext/>
      <w:keepLines/>
      <w:spacing w:before="120" w:after="100" w:line="259" w:lineRule="auto"/>
      <w:outlineLvl w:val="1"/>
    </w:pPr>
    <w:rPr>
      <w:rFonts w:ascii="Calibri" w:hAnsi="Calibri" w:eastAsia="Microsoft YaHei"/>
      <w:b/>
      <w:bCs/>
      <w:color w:val="000000"/>
      <w:sz w:val="23"/>
      <w:szCs w:val="26"/>
      <w:lang w:eastAsia="zh-CN"/>
    </w:rPr>
  </w:style>
  <w:style w:type="paragraph" w:styleId="Heading3">
    <w:name w:val="heading 3"/>
    <w:basedOn w:val="Normal"/>
    <w:next w:val="Normal"/>
    <w:link w:val="Heading3Char"/>
    <w:uiPriority w:val="9"/>
    <w:unhideWhenUsed/>
    <w:qFormat/>
    <w:rsid w:val="00FC693F"/>
    <w:pPr>
      <w:keepNext/>
      <w:keepLines/>
      <w:spacing w:before="200" w:after="100" w:line="259" w:lineRule="auto"/>
      <w:outlineLvl w:val="2"/>
    </w:pPr>
    <w:rPr>
      <w:rFonts w:asciiTheme="majorHAnsi" w:eastAsiaTheme="majorEastAsia" w:hAnsiTheme="majorHAnsi" w:cstheme="majorBidi" w:ascii="Calibri" w:hAnsi="Calibr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69" w:lineRule="auto" w:before="0"/>
      <w:contextualSpacing/>
    </w:pPr>
    <w:rPr>
      <w:rFonts w:ascii="Calibri" w:hAnsi="Calibri" w:eastAsia="Microsoft YaHei"/>
      <w:b/>
      <w:color w:val="000000"/>
      <w:spacing w:val="5"/>
      <w:kern w:val="28"/>
      <w:sz w:val="38"/>
      <w:szCs w:val="52"/>
      <w:lang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hAnsi="Calibri" w:eastAsia="Microsoft YaHei"/>
      <w:b w:val="0"/>
      <w:i w:val="0"/>
      <w:iCs/>
      <w:color w:val="000000"/>
      <w:spacing w:val="15"/>
      <w:sz w:val="21"/>
      <w:szCs w:val="24"/>
      <w:lang w:eastAsia="zh-C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Songti SC"/>
      <w:b w:val="0"/>
      <w:color w:val="000000"/>
      <w:sz w:val="23"/>
      <w:lang w:eastAsia="zh-C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602.07491" TargetMode="External"/><Relationship Id="rId12" Type="http://schemas.openxmlformats.org/officeDocument/2006/relationships/hyperlink" Target="https://arxiv.org/abs/2407.17745" TargetMode="External"/><Relationship Id="rId13" Type="http://schemas.openxmlformats.org/officeDocument/2006/relationships/hyperlink" Target="https://aclanthology.org/2025.findings-acl.163/" TargetMode="External"/><Relationship Id="rId14" Type="http://schemas.openxmlformats.org/officeDocument/2006/relationships/hyperlink" Target="https://learn.chatgpt.com/docs/non-interactive-mode" TargetMode="External"/><Relationship Id="rId15" Type="http://schemas.openxmlformats.org/officeDocument/2006/relationships/hyperlink" Target="https://developers.openai.com/codex/auth" TargetMode="External"/><Relationship Id="rId16" Type="http://schemas.openxmlformats.org/officeDocument/2006/relationships/hyperlink" Target="https://developers.openai.com/codex/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 与 TG 双知识图谱构建及跨图匹配研究方案</dc:title>
  <dc:subject>研究计划与试验后拓展路线</dc:subject>
  <dc:creator/>
  <cp:keywords>iTE, TG, 知识图谱, 关系匹配, 研究计划</cp:keywords>
  <dc:description>generated by python-docx</dc:description>
  <cp:lastModifiedBy/>
  <cp:revision>1</cp:revision>
  <dcterms:created xsi:type="dcterms:W3CDTF">2013-12-23T23:15:00Z</dcterms:created>
  <dcterms:modified xsi:type="dcterms:W3CDTF">2013-12-23T23:15:00Z</dcterms:modified>
  <cp:category/>
</cp:coreProperties>
</file>