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32"/>
          <w:szCs w:val="32"/>
          <w:color w:val="000000"/>
        </w:rPr>
        <w:t xml:space="preserve">大型數據分析平台：國際大型評比結果分析</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PISA、TIMSS、PIRLS 與 ICCS 的加權估計、學校層級分解與跨評比對照</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12"/>
          <w:szCs w:val="12"/>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2"/>
          <w:szCs w:val="22"/>
          <w:color w:val="000000"/>
        </w:rPr>
        <w:t xml:space="preserve">分析樣本：PISA 1,745,082 名、TIMSS 719,881 名、PIRLS 367,575 名、ICCS 82,321 名學生</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2"/>
          <w:szCs w:val="22"/>
          <w:color w:val="000000"/>
        </w:rPr>
        <w:t xml:space="preserve">資料來源：OECD PISA 公開使用檔、IEA TIMSS／PIRLS／ICCS 國際資料庫</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報告產生日期：2026 年 08 月 28 日</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壹、研究方法</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一、資料來源與樣本</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本研究使用經濟合作暨發展組織（OECD）國際學生能力評量計畫（Programme for International Student Assessment, PISA）2015、2018 與 2022 三個輪次的公開使用檔（Public Use Files）。三輪合計 1,745,082 名 15 歲學生，涵蓋 98 個國家與經濟體。各輪參與數分別為 2015 年 73 個、2018 年 80 個、2022 年 80 個。臺灣三輪的學生樣本數分別為 7,708 人、7,243 人與 5,857 人。</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須特別說明者，OECD 並未將越南 2018 年的合理推估值置於主學生檔，而是另以獨立檔案發布；本研究已將該檔併入，故越南 2018 年的估計值完整可用。</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二、抽樣設計與權重</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採兩階段叢集抽樣：第一階段依學校規模機率抽取學校，第二階段於校內隨機抽取學生。由於各校與各生被抽中的機率不同，每筆資料均帶有最終學生權重（W_FSTUWT）。本研究所有估計值一律加權；未加權的統計量描述的是樣本而非母體，不具推論意義。</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變異數估計採用 Fay 平衡重複半樣本法（balanced repeated replication, BRR），使用官方提供的 80 組重複權重（W_FSTURWT1 至 W_FSTURWT80），Fay 係數設為 0.5。此方法可正確反映叢集抽樣造成的設計效應；若逕以簡單隨機抽樣公式計算標準誤，將嚴重低估不確定性。</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三、合理推估值與變異數合併</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的能力分數並非直接測得，而是以項目反應理論搭配潛在迴歸模型，自學生能力的後驗分配抽取 10 個合理推估值（plausible values）。本研究對每個推估值分別估計，再依 Rubin 規則合併，總變異數為抽樣變異與推估變異之和：</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V = V</w:t>
      </w:r>
      <w:r>
        <w:rPr>
          <w:rFonts w:ascii="Times New Roman" w:hAnsi="Times New Roman" w:eastAsia="BiauKaiTC" w:cs="BiauKaiTC"/>
          <w:i w:val="false"/>
          <w:b w:val="false"/>
          <w:u w:val="none"/>
          <w:strike w:val="false"/>
          <w:sz w:val="18"/>
          <w:szCs w:val="18"/>
          <w:color w:val="000000"/>
        </w:rPr>
        <w:t xml:space="preserve">抽樣</w:t>
      </w:r>
      <w:r>
        <w:rPr>
          <w:rFonts w:ascii="Times New Roman" w:hAnsi="Times New Roman" w:eastAsia="BiauKaiTC" w:cs="BiauKaiTC"/>
          <w:i w:val="false"/>
          <w:b w:val="false"/>
          <w:u w:val="none"/>
          <w:strike w:val="false"/>
          <w:sz w:val="24"/>
          <w:szCs w:val="24"/>
          <w:color w:val="000000"/>
        </w:rPr>
        <w:t xml:space="preserve"> + (1 + 1/M) × B</w:t>
      </w:r>
      <w:r>
        <w:rPr>
          <w:rFonts w:ascii="Times New Roman" w:hAnsi="Times New Roman" w:eastAsia="BiauKaiTC" w:cs="BiauKaiTC"/>
          <w:i w:val="false"/>
          <w:b w:val="false"/>
          <w:u w:val="none"/>
          <w:strike w:val="false"/>
          <w:sz w:val="18"/>
          <w:szCs w:val="18"/>
          <w:color w:val="000000"/>
        </w:rPr>
        <w:t xml:space="preserve">M</w:t>
      </w:r>
      <w:r>
        <w:rPr>
          <w:rFonts w:ascii="Times New Roman" w:hAnsi="Times New Roman" w:eastAsia="BiauKaiTC" w:cs="BiauKaiTC"/>
          <w:i w:val="false"/>
          <w:b w:val="false"/>
          <w:u w:val="none"/>
          <w:strike w:val="false"/>
          <w:sz w:val="24"/>
          <w:szCs w:val="24"/>
          <w:color w:val="000000"/>
        </w:rPr>
        <w:t xml:space="preserve">，M = 10</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其中抽樣變異以 80 組重複權重估計，推估變異為 10 個推估值之間的變異。僅使用單一個推估值，或先將 10 個推估值平均再視為觀測值，兩者皆會低估標準誤。</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四、跨輪次比較與連結誤差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各輪分數雖位於同一連結量尺上，但量尺連結本身存在不確定性，稱為連結誤差（link error）。跨輪次差異檢定的標準誤應為三項之和開根號：</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SE</w:t>
      </w:r>
      <w:r>
        <w:rPr>
          <w:rFonts w:ascii="Times New Roman" w:hAnsi="Times New Roman" w:eastAsia="BiauKaiTC" w:cs="BiauKaiTC"/>
          <w:i w:val="false"/>
          <w:b w:val="false"/>
          <w:u w:val="none"/>
          <w:strike w:val="false"/>
          <w:sz w:val="18"/>
          <w:szCs w:val="18"/>
          <w:color w:val="000000"/>
        </w:rPr>
        <w:t xml:space="preserve">差異</w:t>
      </w:r>
      <w:r>
        <w:rPr>
          <w:rFonts w:ascii="Times New Roman" w:hAnsi="Times New Roman" w:eastAsia="BiauKaiTC" w:cs="BiauKaiTC"/>
          <w:i w:val="false"/>
          <w:b w:val="false"/>
          <w:u w:val="none"/>
          <w:strike w:val="false"/>
          <w:sz w:val="24"/>
          <w:szCs w:val="24"/>
          <w:color w:val="000000"/>
        </w:rPr>
        <w:t xml:space="preserve"> = √(SE₁² + SE₂² + 連結誤差²)</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連結誤差與樣本大小無關，增加樣本並不能使其縮小。本研究所採用的數值取自 PISA 2022 技術報告 Annex Table 14.A.19（見表 3）。省略此項是趨勢分析最常見的錯誤，其後果詳見本報告第參節。</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五、分析工具與驗證</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全部估計於 R 4.5.2 環境完成，圖表以 ggplot2 繪製。估計核心經三種獨立實作交叉驗證：自建函式庫、intsvy 套件，以及 survey 套件為基礎的複雜抽樣估計程序。以臺灣 2022 年數學為例，三者均得平均數 547.09、標準誤 3.778（抽樣成分 3.728、推估成分 0.611）。臺灣 2015 年三領域的估計值亦與 OECD 公布結果一致。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各輪次樣本結構</w:t>
      </w:r>
    </w:p>
    <w:tbl xmlns:a="http://schemas.openxmlformats.org/drawingml/2006/main" xmlns:pic="http://schemas.openxmlformats.org/drawingml/2006/picture">
      <w:tblPr>
        <w:tblLayout w:type="fixed"/>
        <w:jc w:val="start"/>
        <w:tblLook w:firstRow="1" w:lastRow="0" w:firstColumn="0" w:lastColumn="0" w:noHBand="0" w:noVBand="1"/>
      </w:tblPr>
      <w:tblGrid>
        <w:gridCol w:w="861"/>
        <w:gridCol w:w="1061"/>
        <w:gridCol w:w="1500"/>
        <w:gridCol w:w="1188"/>
        <w:gridCol w:w="1188"/>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輪次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學生數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國家與經濟體數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臺灣學生數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臺灣學校數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519,334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7,708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192</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613,744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182</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學生數為未加權的樣本人數。加權後各輪代表該國全體 15 歲在學學生母體。2015 年參與數較少，係因部分國家自 2018 年起始加入。</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貳、描述統計結果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數學各國加權平均與未加權平均之差</w:t>
      </w:r>
    </w:p>
    <w:p>
      <w:pPr>
        <w:pStyle w:val="centered"/>
      </w:pPr>
      <w:r>
        <w:rPr/>
        <w:drawing>
          <wp:inline distT="0" distB="0" distL="0" distR="0">
            <wp:extent cx="5733288" cy="6879946"/>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33288" cy="687994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差值為加權平均減未加權平均，臺灣以深色標示。80 個國家與經濟體的差異中位數為 2.07 分，最大達 20.60 分（泰國，加權後較低）。臺灣為正向差異最大者：未加權平均 534.02 分，加權後 547.13 分，相差 13.11 分。此結果顯示忽略抽樣權重並非小數點後的誤差問題，而會實質改變國際比較的相對位置。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臺灣學生分數的加權分配（2015、2018、2022）</w:t>
      </w:r>
    </w:p>
    <w:p>
      <w:pPr>
        <w:pStyle w:val="centered"/>
      </w:pPr>
      <w:r>
        <w:rPr/>
        <w:drawing>
          <wp:inline distT="0" distB="0" distL="0" distR="0">
            <wp:extent cx="5733288" cy="2675534"/>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33288" cy="267553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本圖將 10 個合理推估值全數攤平並各給予十分之一權重，再以最終學生權重加權，此為描述能力分配的正確作法。三個領域在 2022 年的分配整體右移，惟分配寬度亦同步增加，顯示平均數上升的同時個別差異亦擴大。若先將 10 個推估值平均後再繪圖，會系統性低估分配的離散程度。</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臺灣分數分布的加權五數概括</w:t>
      </w:r>
    </w:p>
    <w:p>
      <w:pPr>
        <w:pStyle w:val="centered"/>
      </w:pPr>
      <w:r>
        <w:rPr/>
        <w:drawing>
          <wp:inline distT="0" distB="0" distL="0" distR="0">
            <wp:extent cx="5733288" cy="2675534"/>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733288" cy="267553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盒為加權四分位距，鬚為加權第 5 與第 95 百分位，均以最終學生權重計算加權分位數，非樣本分位數。2022 年三領域的中位數皆高於 2018 年，惟盒身與鬚長亦同時增加，與圖 2 的分配形態一致。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臺灣學生家庭社經地位（ESCS）的加權分布</w:t>
      </w:r>
    </w:p>
    <w:p>
      <w:pPr>
        <w:pStyle w:val="centered"/>
      </w:pPr>
      <w:r>
        <w:rPr/>
        <w:drawing>
          <wp:inline distT="0" distB="0" distL="0" distR="0">
            <wp:extent cx="5733288" cy="305775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733288" cy="305775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ESCS 為 OECD 建構之經濟社會文化地位綜合指標，由父母職業地位、父母教育程度與家庭教育資產三者合成，並標準化為 2022 年 OECD 國家平均為 0、標準差為 1。虛線標示該基準。須注意各輪原始 ESCS 的量尺並不相同，跨輪比較須改用 OECD 另行發布的 trend ESCS。</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標準誤的兩個變異來源（PISA 2022）</w:t>
      </w:r>
    </w:p>
    <w:p>
      <w:pPr>
        <w:pStyle w:val="centered"/>
      </w:pPr>
      <w:r>
        <w:rPr/>
        <w:drawing>
          <wp:inline distT="0" distB="0" distL="0" distR="0">
            <wp:extent cx="5733288" cy="2773101"/>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抽樣變異源自複雜抽樣設計，以 80 組 Fay 重複權重估計；推估變異源自能力值係自後驗分配抽取而非直接測得。在九個焦點經濟體中，推估變異占總變異的比例介於 1.99%（臺灣科學）至 39.89%（新加坡閱讀）之間，中位數為 5.97%。僅使用單一個推估值會完全遺漏此一成分。</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參、趨勢分析結果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東亞主要經濟體與對照國的各輪平均分數與 95% 信賴區間</w:t>
      </w:r>
    </w:p>
    <w:p>
      <w:pPr>
        <w:pStyle w:val="centered"/>
      </w:pPr>
      <w:r>
        <w:rPr/>
        <w:drawing>
          <wp:inline distT="0" distB="0" distL="0" distR="0">
            <wp:extent cx="5733288" cy="2773101"/>
            <wp:docPr id="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陰影帶為 95% 信賴區間，臺灣以粗線標示。臺灣三輪數學平均分別為 542.3、531.1 與 547.1 分；閱讀為 497.1、502.6 與 515.2 分；科學為 532.4、515.8 與 537.4 分。2018 年為三輪中的低點，選擇不同基期將導致不同的趨勢結論。信賴區間重疊並不等同於差異未達顯著，正式檢定須另納入連結誤差。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臺灣三輪次平均分數與跨輪次檢定</w:t>
      </w:r>
    </w:p>
    <w:tbl xmlns:a="http://schemas.openxmlformats.org/drawingml/2006/main" xmlns:pic="http://schemas.openxmlformats.org/drawingml/2006/picture">
      <w:tblPr>
        <w:tblLayout w:type="fixed"/>
        <w:jc w:val="start"/>
        <w:tblLook w:firstRow="1" w:lastRow="0" w:firstColumn="0" w:lastColumn="0" w:noHBand="0" w:noVBand="1"/>
      </w:tblPr>
      <w:tblGrid>
        <w:gridCol w:w="722"/>
        <w:gridCol w:w="1394"/>
        <w:gridCol w:w="1394"/>
        <w:gridCol w:w="1394"/>
        <w:gridCol w:w="1772"/>
        <w:gridCol w:w="8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領域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2018→2022 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值</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542.3 (3.03)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531.1 (2.89)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 (3.78)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497.1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502.6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515.2 (3.25)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0.006</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532.4 (2.69)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515.8 (2.87)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537.4 (3.31)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括號內為標準誤。變化欄為 2022 年減 2018 年。p 值以納入連結誤差之標準誤計算，數學連結誤差為 2.24 分、閱讀 1.47 分、科學 1.61 分。三個領域自 2018 年至 2022 年的進步均達統計顯著。惟若以 2015 年為基期，數學與科學的變化則未達顯著，顯示基期選擇對結論具決定性影響。</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與各輪次比較之連結誤差</w:t>
      </w:r>
    </w:p>
    <w:tbl xmlns:a="http://schemas.openxmlformats.org/drawingml/2006/main" xmlns:pic="http://schemas.openxmlformats.org/drawingml/2006/picture">
      <w:tblPr>
        <w:tblLayout w:type="fixed"/>
        <w:jc w:val="start"/>
        <w:tblLook w:firstRow="1" w:lastRow="0" w:firstColumn="0" w:lastColumn="0" w:noHBand="0" w:noVBand="1"/>
      </w:tblPr>
      <w:tblGrid>
        <w:gridCol w:w="1994"/>
        <w:gridCol w:w="761"/>
        <w:gridCol w:w="761"/>
        <w:gridCol w:w="761"/>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比較</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財金素養</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2000 → 2022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2003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2006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2009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2012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2015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3.47</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2018 → 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資料來源：PISA 2022 技術報告 Annex Table 14.A.19。破折號表示該領域於該輪次尚非主測領域，OECD 明示不可比較：數學最早可回溯至 2003 年、閱讀至 2000 年、科學至 2006 年。連結誤差數值差異甚大，2018 年至 2022 年的閱讀僅 1.47 分，2006 年至 2022 年則達 8.56 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本研究對全部 396 組跨輪次比較（3 個領域 × 2 個基期 × 各國）同時計算兩種標準誤：忽略連結誤差者與正確納入者。結果顯示，其中 16 組在忽略連結誤差時判定為統計顯著，正確計算後則否；標準誤最多被低估至 2.44 倍。此比例雖非多數，但足以說明省略連結誤差會實質提高型一錯誤率。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數學：2015 年至 2022 年變化的兩種信賴區間對照</w:t>
      </w:r>
    </w:p>
    <w:p>
      <w:pPr>
        <w:pStyle w:val="centered"/>
      </w:pPr>
      <w:r>
        <w:rPr/>
        <w:drawing>
          <wp:inline distT="0" distB="0" distL="0" distR="0">
            <wp:extent cx="5733288" cy="6758665"/>
            <wp:docPr id="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2.74 分，共 61 個國家與經濟體參與比較。忽略連結誤差時有 45 組判為顯著，正確計算後為 44 組，其中 1 組結論改變，標準誤最多被低估至 2.03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數學：2018 年至 2022 年變化的兩種信賴區間對照</w:t>
      </w:r>
    </w:p>
    <w:p>
      <w:pPr>
        <w:pStyle w:val="centered"/>
      </w:pPr>
      <w:r>
        <w:rPr/>
        <w:drawing>
          <wp:inline distT="0" distB="0" distL="0" distR="0">
            <wp:extent cx="5733288" cy="6758665"/>
            <wp:docPr id="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2.24 分，共 71 個國家與經濟體參與比較。忽略連結誤差時有 53 組判為顯著，正確計算後為 47 組，其中 6 組結論改變，標準誤最多被低估至 1.81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閱讀：2015 年至 2022 年變化的兩種信賴區間對照</w:t>
      </w:r>
    </w:p>
    <w:p>
      <w:pPr>
        <w:pStyle w:val="centered"/>
      </w:pPr>
      <w:r>
        <w:rPr/>
        <w:drawing>
          <wp:inline distT="0" distB="0" distL="0" distR="0">
            <wp:extent cx="5733288" cy="6758665"/>
            <wp:docPr id="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3.63 分，共 61 個國家與經濟體參與比較。忽略連結誤差時有 41 組判為顯著，正確計算後為 34 組，其中 7 組結論改變，標準誤最多被低估至 2.44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閱讀：2018 年至 2022 年變化的兩種信賴區間對照</w:t>
      </w:r>
    </w:p>
    <w:p>
      <w:pPr>
        <w:pStyle w:val="centered"/>
      </w:pPr>
      <w:r>
        <w:rPr/>
        <w:drawing>
          <wp:inline distT="0" distB="0" distL="0" distR="0">
            <wp:extent cx="5733288" cy="6758665"/>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1.47 分，共 71 個國家與經濟體參與比較。忽略連結誤差時有 43 組判為顯著，正確計算後為 43 組，其中 0 組結論改變，標準誤最多被低估至 1.47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科學：2015 年至 2022 年變化的兩種信賴區間對照</w:t>
      </w:r>
    </w:p>
    <w:p>
      <w:pPr>
        <w:pStyle w:val="centered"/>
      </w:pPr>
      <w:r>
        <w:rPr/>
        <w:drawing>
          <wp:inline distT="0" distB="0" distL="0" distR="0">
            <wp:extent cx="5733288" cy="6758665"/>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1.38 分，共 61 個國家與經濟體參與比較。忽略連結誤差時有 39 組判為顯著，正確計算後為 37 組，其中 2 組結論改變，標準誤最多被低估至 1.34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科學：2018 年至 2022 年變化的兩種信賴區間對照</w:t>
      </w:r>
    </w:p>
    <w:p>
      <w:pPr>
        <w:pStyle w:val="centered"/>
      </w:pPr>
      <w:r>
        <w:rPr/>
        <w:drawing>
          <wp:inline distT="0" distB="0" distL="0" distR="0">
            <wp:extent cx="5733288" cy="6758665"/>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1.61 分，共 71 個國家與經濟體參與比較。忽略連結誤差時有 37 組判為顯著，正確計算後為 37 組，其中 0 組結論改變，標準誤最多被低估至 1.38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因納入連結誤差而改變統計結論的比較</w:t>
      </w:r>
    </w:p>
    <w:tbl xmlns:a="http://schemas.openxmlformats.org/drawingml/2006/main" xmlns:pic="http://schemas.openxmlformats.org/drawingml/2006/picture">
      <w:tblPr>
        <w:tblLayout w:type="fixed"/>
        <w:jc w:val="start"/>
        <w:tblLook w:firstRow="1" w:lastRow="0" w:firstColumn="0" w:lastColumn="0" w:noHBand="0" w:noVBand="1"/>
      </w:tblPr>
      <w:tblGrid>
        <w:gridCol w:w="1344"/>
        <w:gridCol w:w="722"/>
        <w:gridCol w:w="861"/>
        <w:gridCol w:w="773"/>
        <w:gridCol w:w="1005"/>
        <w:gridCol w:w="961"/>
        <w:gridCol w:w="1005"/>
        <w:gridCol w:w="9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領域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基期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 忽略</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忽略</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 正確</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正確</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0.0044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0.0841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0.0851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0.0875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0.0820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0.0883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0.0904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0.0955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0.1373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0.2276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0.0558</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0.0677</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下列各組於忽略連結誤差時判定為顯著（p &lt; .05），正確計算後則未達顯著。變化欄為 2022 年減基期年之分數差。此表為圖 7 至圖 12 中紅點所標示者之完整清單。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肆、各國比較結果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2022 共 80 個國家與經濟體參與三個核心領域。臺灣的表現在數學居第 3 位、科學第 4 位、閱讀第 5 位。須注意排名之間的差距未必具統計意義，相鄰名次的信賴區間多有重疊。</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數學各國平均分數與 95% 信賴區間</w:t>
      </w:r>
    </w:p>
    <w:p>
      <w:pPr>
        <w:pStyle w:val="centered"/>
      </w:pPr>
      <w:r>
        <w:rPr/>
        <w:drawing>
          <wp:inline distT="0" distB="0" distL="0" distR="0">
            <wp:extent cx="5733288" cy="7029011"/>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信賴區間，圓點為加權平均分數，臺灣以深色標示。臺灣數學平均 547.1 分（SE = 3.78），在 80 個國家與經濟體中居第 3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閱讀各國平均分數與 95% 信賴區間</w:t>
      </w:r>
    </w:p>
    <w:p>
      <w:pPr>
        <w:pStyle w:val="centered"/>
      </w:pPr>
      <w:r>
        <w:rPr/>
        <w:drawing>
          <wp:inline distT="0" distB="0" distL="0" distR="0">
            <wp:extent cx="5733288" cy="7029011"/>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0"/>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信賴區間，圓點為加權平均分數，臺灣以深色標示。臺灣閱讀平均 515.2 分（SE = 3.25），在 80 個國家與經濟體中居第 5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科學各國平均分數與 95% 信賴區間</w:t>
      </w:r>
    </w:p>
    <w:p>
      <w:pPr>
        <w:pStyle w:val="centered"/>
      </w:pPr>
      <w:r>
        <w:rPr/>
        <w:drawing>
          <wp:inline distT="0" distB="0" distL="0" distR="0">
            <wp:extent cx="5733288" cy="7029011"/>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1"/>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信賴區間，圓點為加權平均分數，臺灣以深色標示。臺灣科學平均 537.4 分（SE = 3.31），在 80 個國家與經濟體中居第 4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數學各國估計值一覽</w:t>
      </w:r>
    </w:p>
    <w:tbl xmlns:a="http://schemas.openxmlformats.org/drawingml/2006/main" xmlns:pic="http://schemas.openxmlformats.org/drawingml/2006/picture">
      <w:tblPr>
        <w:tblLayout w:type="fixed"/>
        <w:jc w:val="start"/>
        <w:tblLook w:firstRow="1" w:lastRow="0" w:firstColumn="0" w:lastColumn="0" w:noHBand="0" w:noVBand="1"/>
      </w:tblPr>
      <w:tblGrid>
        <w:gridCol w:w="547"/>
        <w:gridCol w:w="2022"/>
        <w:gridCol w:w="672"/>
        <w:gridCol w:w="582"/>
        <w:gridCol w:w="1106"/>
        <w:gridCol w:w="1106"/>
        <w:gridCol w:w="1022"/>
        <w:gridCol w:w="762"/>
      </w:tblGrid>
      <w:tr>
        <w:trPr>
          <w:trHeight w:val="314"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平均</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未達 L2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L5 以上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ESCS 斜率</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樣本數</w:t>
            </w:r>
          </w:p>
        </w:tc>
      </w:tr>
      <w:tr>
        <w:trPr>
          <w:trHeight w:val="2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6,606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4,384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5,857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5,907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5,760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6,392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5,046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5,569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8,286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英國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12,972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8,460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6,721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10,239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5,373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6,072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4,682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6,116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3,127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4,552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5,824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6,135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3,360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7,250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5,576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3,876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6,413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6,403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7,364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19,769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6,107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6,235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7,676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5,793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7,720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8,495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6,583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6,928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6,113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7,804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阿根廷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12,111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3,873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7,905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7,799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4,544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6,027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瓜地馬拉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5,190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5,084</w:t>
            </w:r>
          </w:p>
        </w:tc>
      </w:tr>
      <w:tr>
        <w:trPr>
          <w:trHeight w:val="3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柬埔寨</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5,279</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依平均分數排序。未達 L2 為未達基礎精熟水準（Level 2）的加權學生比率，L5 以上為達高表現水準的比率，切點取自 PISA 2022 技術報告 Annex Table 17.A.2。ESCS 斜率為家庭社經地位每增加一個標準差對應的分數變動，以合理推估值加權迴歸估計。閱讀與科學的對應數值請見隨附之互動式平台。</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伍、教育公平性結果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本節以兩個指標檢視教育公平性：其一為社經梯度，即家庭社經地位對成績的迴歸斜率，斜率越大表示家庭背景的影響越強；其二為精熟等級兩端的學生比率，用以判斷分數變化係整體平移或分配拉開。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臺灣的數學社經梯度自 2015 年的 40.4 分、2018 年的 38.1 分，上升至 2022 年的 49.3 分（每一個標準差）。2022 年 80 個國家與經濟體的中位數為 33.3 分，臺灣明顯高於中位數。此結果顯示臺灣在平均成績上升的同時，家庭背景對學習成就的解釋力亦同步增強。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數學：平均分數與社經梯度</w:t>
      </w:r>
    </w:p>
    <w:p>
      <w:pPr>
        <w:pStyle w:val="centered"/>
      </w:pPr>
      <w:r>
        <w:rPr/>
        <w:drawing>
          <wp:inline distT="0" distB="0" distL="0" distR="0">
            <wp:extent cx="5733288" cy="3969199"/>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2"/>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每增加一個標準差對應的分數變動，橫軸為平均分數，虛線為全體中位數。右下象限代表高成就且相對公平，右上象限代表高成就但家庭背景影響強。數學領域全體中位數為 33.3 分，全距自 8.1 分至 53.3 分，臺灣為 49.3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閱讀：平均分數與社經梯度</w:t>
      </w:r>
    </w:p>
    <w:p>
      <w:pPr>
        <w:pStyle w:val="centered"/>
      </w:pPr>
      <w:r>
        <w:rPr/>
        <w:drawing>
          <wp:inline distT="0" distB="0" distL="0" distR="0">
            <wp:extent cx="5733288" cy="3969199"/>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3"/>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每增加一個標準差對應的分數變動，橫軸為平均分數，虛線為全體中位數。右下象限代表高成就且相對公平，右上象限代表高成就但家庭背景影響強。閱讀領域全體中位數為 34.0 分，全距自 3.5 分至 51.5 分，臺灣為 39.9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科學：平均分數與社經梯度</w:t>
      </w:r>
    </w:p>
    <w:p>
      <w:pPr>
        <w:pStyle w:val="centered"/>
      </w:pPr>
      <w:r>
        <w:rPr/>
        <w:drawing>
          <wp:inline distT="0" distB="0" distL="0" distR="0">
            <wp:extent cx="5733288" cy="3969199"/>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4"/>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每增加一個標準差對應的分數變動，橫軸為平均分數，虛線為全體中位數。右下象限代表高成就且相對公平，右上象限代表高成就但家庭背景影響強。科學領域全體中位數為 34.2 分，全距自 3.7 分至 54.9 分，臺灣為 41.7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數學：未達基礎水準與高表現學生比率</w:t>
      </w:r>
    </w:p>
    <w:p>
      <w:pPr>
        <w:pStyle w:val="centered"/>
      </w:pPr>
      <w:r>
        <w:rPr/>
        <w:drawing>
          <wp:inline distT="0" distB="0" distL="0" distR="0">
            <wp:extent cx="5733288" cy="6758665"/>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5"/>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以上者，依前者由高至低排序。臺灣數學未達 Level 2 的比率自 2018 年的 13.98% 上升至 2022 年的 14.61%，同期達 Level 5 以上者自 23.19% 上升至 31.73%。兩端比率同時上升，顯示變化並非整體平移，而是分配向兩側拉開。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閱讀：未達基礎水準與高表現學生比率</w:t>
      </w:r>
    </w:p>
    <w:p>
      <w:pPr>
        <w:pStyle w:val="centered"/>
      </w:pPr>
      <w:r>
        <w:rPr/>
        <w:drawing>
          <wp:inline distT="0" distB="0" distL="0" distR="0">
            <wp:extent cx="5733288" cy="6758665"/>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26"/>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以上者，依前者由高至低排序。臺灣閱讀未達 Level 2 的比率自 2018 年的 17.81% 上升至 2022 年的 15.80%，同期達 Level 5 以上者自 10.91% 上升至 14.01%。兩端比率同時上升，顯示變化並非整體平移，而是分配向兩側拉開。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科學：未達基礎水準與高表現學生比率</w:t>
      </w:r>
    </w:p>
    <w:p>
      <w:pPr>
        <w:pStyle w:val="centered"/>
      </w:pPr>
      <w:r>
        <w:rPr/>
        <w:drawing>
          <wp:inline distT="0" distB="0" distL="0" distR="0">
            <wp:extent cx="5733288" cy="6758665"/>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27"/>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以上者，依前者由高至低排序。臺灣科學未達 Level 2 的比率自 2018 年的 15.15% 上升至 2022 年的 12.08%，同期達 Level 5 以上者自 11.67% 上升至 17.78%。兩端比率同時上升，顯示變化並非整體平移，而是分配向兩側拉開。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數學：女學生與男學生之分數差</w:t>
      </w:r>
    </w:p>
    <w:p>
      <w:pPr>
        <w:pStyle w:val="centered"/>
      </w:pPr>
      <w:r>
        <w:rPr/>
        <w:drawing>
          <wp:inline distT="0" distB="0" distL="0" distR="0">
            <wp:extent cx="5733288" cy="7029011"/>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28"/>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信賴區間，淡色表示差異未達統計顯著。臺灣數學領域的性別差距為 -5.6 分（SE = 6.63，p = 0.396）。同一輪次內的兩組比較位於同一次量尺連結上，故不需納入連結誤差。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閱讀：女學生與男學生之分數差</w:t>
      </w:r>
    </w:p>
    <w:p>
      <w:pPr>
        <w:pStyle w:val="centered"/>
      </w:pPr>
      <w:r>
        <w:rPr/>
        <w:drawing>
          <wp:inline distT="0" distB="0" distL="0" distR="0">
            <wp:extent cx="5733288" cy="7029011"/>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29"/>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信賴區間，淡色表示差異未達統計顯著。臺灣閱讀領域的性別差距為 +26.9 分（SE = 5.76，p = 0.000）。同一輪次內的兩組比較位於同一次量尺連結上，故不需納入連結誤差。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科學：女學生與男學生之分數差</w:t>
      </w:r>
    </w:p>
    <w:p>
      <w:pPr>
        <w:pStyle w:val="centered"/>
      </w:pPr>
      <w:r>
        <w:rPr/>
        <w:drawing>
          <wp:inline distT="0" distB="0" distL="0" distR="0">
            <wp:extent cx="5733288" cy="7029011"/>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0"/>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信賴區間，淡色表示差異未達統計顯著。臺灣科學領域的性別差距為 -3.4 分（SE = 5.83，p = 0.565）。同一輪次內的兩組比較位於同一次量尺連結上，故不需納入連結誤差。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陸、學校層級分析結果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學生嵌套於學校，成績的總變異可依全變異數分解律精確拆成兩塊：同一所學校之內的差異（校內變異），與學校平均數之間的差異（校間變異）。兩者相加恆等於總變異。校間變異占總變異的比例，即為組內相關係數（ICC），是大型評比最常引用的公平性指標之一——數值越高，代表學生成績越取決於其就讀的學校而非個人條件。</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臺灣數學的校間變異比例自 2015 年的 37.9%、2018 年的 33.8%，上升至 2022 年的 40.5%。作為對照，分流體制明顯的荷蘭為 61.9%、匈牙利 60.8%，綜合型學制的芬蘭僅 11.6%、冰島 11.8%。臺灣在 2018 年至 2022 年之間的上升幅度值得注意，顯示校際隔離加深。</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校間變異比例的跨輪次變化</w:t>
      </w:r>
    </w:p>
    <w:p>
      <w:pPr>
        <w:pStyle w:val="centered"/>
      </w:pPr>
      <w:r>
        <w:rPr/>
        <w:drawing>
          <wp:inline distT="0" distB="0" distL="0" distR="0">
            <wp:extent cx="5733288" cy="2773101"/>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1"/>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縱軸為校間變異占總變異的百分比，臺灣以粗線標示。臺灣數學自 2018 年的 33.8% 升至 2022 年的 40.5%。芬蘭三輪均維持在 12% 上下，是綜合型學制的代表。分解為恆等式：校間加校內等於總變異；本研究的實作在未加權情形下已與單因子變異數分析的平方和逐項比對，差異量級為 10 的負 11 次方。</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數學：校間變異占總變異的比例</w:t>
      </w:r>
    </w:p>
    <w:p>
      <w:pPr>
        <w:pStyle w:val="centered"/>
      </w:pPr>
      <w:r>
        <w:rPr/>
        <w:drawing>
          <wp:inline distT="0" distB="0" distL="0" distR="0">
            <wp:extent cx="5733288" cy="7029011"/>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2"/>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信賴區間。臺灣數學的校間變異比例為 40.5%，全體 80 個國家與經濟體的中位數為 34.0%。數值越高，代表學生成績越取決於其就讀的學校。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閱讀：校間變異占總變異的比例</w:t>
      </w:r>
    </w:p>
    <w:p>
      <w:pPr>
        <w:pStyle w:val="centered"/>
      </w:pPr>
      <w:r>
        <w:rPr/>
        <w:drawing>
          <wp:inline distT="0" distB="0" distL="0" distR="0">
            <wp:extent cx="5733288" cy="7029011"/>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3"/>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信賴區間。臺灣閱讀的校間變異比例為 33.2%，全體 80 個國家與經濟體的中位數為 34.0%。數值越高，代表學生成績越取決於其就讀的學校。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科學：校間變異占總變異的比例</w:t>
      </w:r>
    </w:p>
    <w:p>
      <w:pPr>
        <w:pStyle w:val="centered"/>
      </w:pPr>
      <w:r>
        <w:rPr/>
        <w:drawing>
          <wp:inline distT="0" distB="0" distL="0" distR="0">
            <wp:extent cx="5733288" cy="7029011"/>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4"/>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信賴區間。臺灣科學的校間變異比例為 38.1%，全體 80 個國家與經濟體的中位數為 33.4%。數值越高，代表學生成績越取決於其就讀的學校。</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校間差異本身並不必然代表不公平，關鍵在於這些差異對應到什麼。若學校之間的成績落差幾乎就是學生社經組成落差的投影，則校際差異即為社會分層在教育體系中的再現。本研究以校平均分數對校平均 ESCS 的加權迴歸（學校依其學生權重總和加權）估計此一比例。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臺灣數學的此一比例自 2015 年的 61.3%、2018 年的 67.1%，升至 2022 年的 71.2%。亦即校際成績落差中，有超過七成對應到學生組成的社經落差，且比例仍在上升。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數學：學校社經組成解釋的校間差異比例</w:t>
      </w:r>
    </w:p>
    <w:p>
      <w:pPr>
        <w:pStyle w:val="centered"/>
      </w:pPr>
      <w:r>
        <w:rPr/>
        <w:drawing>
          <wp:inline distT="0" distB="0" distL="0" distR="0">
            <wp:extent cx="5733288" cy="7029011"/>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5"/>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R²，學校依學生權重總和加權，使結果代表母體而非樣本學校。臺灣數學為 71.2%，全體中位數 58.4%。</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閱讀：學校社經組成解釋的校間差異比例</w:t>
      </w:r>
    </w:p>
    <w:p>
      <w:pPr>
        <w:pStyle w:val="centered"/>
      </w:pPr>
      <w:r>
        <w:rPr/>
        <w:drawing>
          <wp:inline distT="0" distB="0" distL="0" distR="0">
            <wp:extent cx="5733288" cy="7029011"/>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36"/>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R²，學校依學生權重總和加權，使結果代表母體而非樣本學校。臺灣閱讀為 65.1%，全體中位數 55.9%。</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科學：學校社經組成解釋的校間差異比例</w:t>
      </w:r>
    </w:p>
    <w:p>
      <w:pPr>
        <w:pStyle w:val="centered"/>
      </w:pPr>
      <w:r>
        <w:rPr/>
        <w:drawing>
          <wp:inline distT="0" distB="0" distL="0" distR="0">
            <wp:extent cx="5733288" cy="7029011"/>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37"/>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R²，學校依學生權重總和加權，使結果代表母體而非樣本學校。臺灣科學為 66.5%，全體中位數 56.6%。</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為釐清機制，本研究採 Mundlak 分解，將學生 ESCS 拆為兩個成分：其一為該生與同校同學的社經差距（校內成分），其二為該校的平均社經水準（校間成分）。兩者係數之差即脈絡效應，可解讀為：同一名學生若轉入社經背景較佳的學校，預期能多得幾分。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 2022 年數學的校內個人效應為每一個標準差 20.8 分，學校社經組成效應則高達 131.6 分，脈絡效應 110.8 分（SE = 6.30）。換言之，在臺灣「就讀哪一所學校」對成績的影響，約為「個人家庭背景在校內」影響的六倍。學校組成效應在全體國家中排名第三，僅次於荷蘭（157.9 分）與日本（134.3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數學：個人社經效應與學校社經組成效應</w:t>
      </w:r>
    </w:p>
    <w:p>
      <w:pPr>
        <w:pStyle w:val="centered"/>
      </w:pPr>
      <w:r>
        <w:rPr/>
        <w:drawing>
          <wp:inline distT="0" distB="0" distL="0" distR="0">
            <wp:extent cx="5733288" cy="3969199"/>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38"/>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效應，虛線為兩者相等。落在虛線上方越遠，代表「就讀哪所學校」比「個人家庭背景」更決定成績。臺灣數學的兩個係數分別為 20.8 與 131.6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閱讀：個人社經效應與學校社經組成效應</w:t>
      </w:r>
    </w:p>
    <w:p>
      <w:pPr>
        <w:pStyle w:val="centered"/>
      </w:pPr>
      <w:r>
        <w:rPr/>
        <w:drawing>
          <wp:inline distT="0" distB="0" distL="0" distR="0">
            <wp:extent cx="5733288" cy="3969199"/>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39"/>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效應，虛線為兩者相等。落在虛線上方越遠，代表「就讀哪所學校」比「個人家庭背景」更決定成績。臺灣閱讀的兩個係數分別為 17.0 與 106.1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科學：個人社經效應與學校社經組成效應</w:t>
      </w:r>
    </w:p>
    <w:p>
      <w:pPr>
        <w:pStyle w:val="centered"/>
      </w:pPr>
      <w:r>
        <w:rPr/>
        <w:drawing>
          <wp:inline distT="0" distB="0" distL="0" distR="0">
            <wp:extent cx="5733288" cy="3969199"/>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0"/>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效應，虛線為兩者相等。落在虛線上方越遠，代表「就讀哪所學校」比「個人家庭背景」更決定成績。臺灣科學的兩個係數分別為 17.0 與 113.2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數學各國學校層級指標</w:t>
      </w:r>
    </w:p>
    <w:tbl xmlns:a="http://schemas.openxmlformats.org/drawingml/2006/main" xmlns:pic="http://schemas.openxmlformats.org/drawingml/2006/picture">
      <w:tblPr>
        <w:tblLayout w:type="fixed"/>
        <w:jc w:val="start"/>
        <w:tblLook w:firstRow="1" w:lastRow="0" w:firstColumn="0" w:lastColumn="0" w:noHBand="0" w:noVBand="1"/>
      </w:tblPr>
      <w:tblGrid>
        <w:gridCol w:w="547"/>
        <w:gridCol w:w="2022"/>
        <w:gridCol w:w="1022"/>
        <w:gridCol w:w="492"/>
        <w:gridCol w:w="1022"/>
        <w:gridCol w:w="827"/>
        <w:gridCol w:w="1107"/>
        <w:gridCol w:w="827"/>
        <w:gridCol w:w="687"/>
      </w:tblGrid>
      <w:tr>
        <w:trPr>
          <w:trHeight w:val="314"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校間變異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社經解釋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校內效應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學校組成效應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脈絡效應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學校數</w:t>
            </w:r>
          </w:p>
        </w:tc>
      </w:tr>
      <w:tr>
        <w:trPr>
          <w:trHeight w:val="2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荷蘭</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147.0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瓜地馬拉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阿根廷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柬埔寨</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英國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966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w:t>
            </w:r>
          </w:p>
        </w:tc>
      </w:tr>
      <w:tr>
        <w:trPr>
          <w:trHeight w:val="3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芬蘭</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依校間變異比例排序。校內效應與學校組成效應為 Mundlak 分解的兩個迴歸係數，單位為每一個 ESCS 標準差對應的分數；脈絡效應為兩者之差。閱讀與科學的對應數值請見隨附之互動式平台。</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方法交叉驗證：兩種估計標的</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同一份臺灣 2022 年數學資料，本研究的設計基礎分解得校間變異比例 0.405，Mplus 的兩層隨機效果模型得 0.422（預設權重縮放）或 0.455（不縮放）。三者並非彼此矛盾，而是在估計不同的量。</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設計基礎分解回答的是描述性問題：在全體 15 歲學生的成績變異中，有多少比例落在學校之間。它使用完整抽樣權重，且校間與校內恆等相加為總變異。模型基礎的變異成分則是階層模型中的潛在參數，其總和不必等於觀測變異，且會隨權重縮放方式改變——三者的總變異數本身即不相同（12,413、13,118、13,580），此即差異不在計算而在估計標的的直接證據。</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迴歸係數的一致性則高得多：Mundlak 分解在本研究得校內效應 20.8、學校組成效應 131.6；Mplus 兩層模型得 19.9 與 125.0，差異來自 Mplus 僅使用單一個推估值且校層採隨機效果設定。Mplus 空模型的校間殘差變異自 5,537 降至 1,485，即學校社經組成解釋 73.2% 的校間變異；本研究的加權 R² 對同一問題給出 71.2%。兩條獨立路徑收斂至同一結論。</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柒、選考領域與數學分測驗結果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2022 除核心三領域外，另有創造思考與財金素養兩個選考領域，以及數學的八個分測驗（內容向度四項、歷程向度四項）。這些資料與核心領域同時發布，惟使用率遠低於核心領域。</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臺灣參加創造思考評量，得分 32.6（SE = 0.39），在 63 個參與經濟體中排名第 16。同一年臺灣數學排名第 3。名次落差最大的三個體制為澳門（差 19 名）、香港（18 名）與臺灣（13 名）；韓國僅差 4 名、新加坡兩項皆為第 1，可見此一落差並非東亞的共同現象，而是特定體制的特徵。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數學表現與創造思考表現的對照</w:t>
      </w:r>
    </w:p>
    <w:p>
      <w:pPr>
        <w:pStyle w:val="centered"/>
      </w:pPr>
      <w:r>
        <w:rPr/>
        <w:drawing>
          <wp:inline distT="0" distB="0" distL="0" distR="0">
            <wp:extent cx="5733288" cy="3969199"/>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1"/>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 PISA 2022 數學平均分數，縱軸為創造思考分數（0 至 60 分量尺），虛線為線性趨勢。落在趨勢線下方，代表創造思考低於同等數學水準所預期的表現。此結果對強調解題訓練的課程體制具政策意涵。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創造思考：各國平均與 95% 信賴區間</w:t>
      </w:r>
    </w:p>
    <w:p>
      <w:pPr>
        <w:pStyle w:val="centered"/>
      </w:pPr>
      <w:r>
        <w:rPr/>
        <w:drawing>
          <wp:inline distT="0" distB="0" distL="0" distR="0">
            <wp:extent cx="5733288" cy="6115507"/>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2"/>
                    <a:stretch>
                      <a:fillRect/>
                    </a:stretch>
                  </pic:blipFill>
                  <pic:spPr bwMode="auto">
                    <a:xfrm>
                      <a:off x="0" y="0"/>
                      <a:ext cx="5733288" cy="611550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63 個國家與經濟體參加。須特別說明資料處理上的一項陷阱：創造思考的認知檔本身不含抽樣權重，權重存放於主學生檔，必須以學生編號併回後方能進行加權估計；直接以認知檔計算會得到未加權的結果。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數學分測驗方面，臺灣八個向度的分數介於 546.1 至 551.4 分之間，全距僅 5.3 分，輪廓異常平坦，並無明顯的相對強項或弱項。此一結果與部分國家在特定向度上有顯著優勢的形態不同。</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數學分測驗的相對強弱</w:t>
      </w:r>
    </w:p>
    <w:p>
      <w:pPr>
        <w:pStyle w:val="centered"/>
      </w:pPr>
      <w:r>
        <w:rPr/>
        <w:drawing>
          <wp:inline distT="0" distB="0" distL="0" distR="0">
            <wp:extent cx="5733288" cy="4224528"/>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3"/>
                    <a:stretch>
                      <a:fillRect/>
                    </a:stretch>
                  </pic:blipFill>
                  <pic:spPr bwMode="auto">
                    <a:xfrm>
                      <a:off x="0" y="0"/>
                      <a:ext cx="5733288" cy="422452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分測驗分數減去該國整體數學分數，正值代表相對強項。內容向度包含變化與關係、數量、空間與形狀、不確定性與資料；歷程向度包含形成、應用、詮釋、推理。四個採紙筆施測的國家不產出分測驗分數，屬測驗設計使然而非資料缺漏。</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財金素養：各國平均與 95% 信賴區間</w:t>
      </w:r>
    </w:p>
    <w:p>
      <w:pPr>
        <w:pStyle w:val="centered"/>
      </w:pPr>
      <w:r>
        <w:rPr/>
        <w:drawing>
          <wp:inline distT="0" distB="0" distL="0" distR="0">
            <wp:extent cx="5733288" cy="38221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4"/>
                    <a:stretch>
                      <a:fillRect/>
                    </a:stretch>
                  </pic:blipFill>
                  <pic:spPr bwMode="auto">
                    <a:xfrm>
                      <a:off x="0" y="0"/>
                      <a:ext cx="5733288" cy="382219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僅 20 個國家與經濟體參加此選考領域，臺灣未參加。資料處理上須注意：該領域的壓縮檔內含三個資料檔，惟僅問卷檔含推估值與權重，試題檔與作答時間檔皆無。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創造思考與數學表現對照</w:t>
      </w:r>
    </w:p>
    <w:tbl xmlns:a="http://schemas.openxmlformats.org/drawingml/2006/main" xmlns:pic="http://schemas.openxmlformats.org/drawingml/2006/picture">
      <w:tblPr>
        <w:tblLayout w:type="fixed"/>
        <w:jc w:val="start"/>
        <w:tblLook w:firstRow="1" w:lastRow="0" w:firstColumn="0" w:lastColumn="0" w:noHBand="0" w:noVBand="1"/>
      </w:tblPr>
      <w:tblGrid>
        <w:gridCol w:w="2361"/>
        <w:gridCol w:w="1033"/>
        <w:gridCol w:w="1033"/>
        <w:gridCol w:w="861"/>
        <w:gridCol w:w="1033"/>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創造思考</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名次落差</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阿爾巴尼亞</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依創造思考分數排序。名次落差為創造思考名次減數學名次，正值代表創造思考的相對表現落後於數學。創造思考採 0 至 60 分量尺，與數學的 PISA 量尺不同，不可直接比較分數，僅能比較相對位置。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捌、IEA 系列評比結果與跨評比對照</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為避免單一評比的結論受其測驗取向影響，本研究另納入國際教育成就評鑑協會（IEA）主辦的國際數學與科學教育成就趨勢調查（TIMSS）2023 年八年級資料，共 47 個國家與經濟體、323,920 名學生。TIMSS 測量的是各國課程實際教授的內容，PISA 測量的是將知識應用於真實情境的能力，兩者評量的並非同一構念。</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一、TIMSS 與 PISA 的設計差異</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兩套評比的抽樣與計分設計不同，直接沿用 PISA 的分析程式雖不會產生錯誤訊息，卻會得到錯誤的標準誤。主要差異有三：其一，TIMSS 每個量尺提供 5 個合理推估值，PISA 為 10 個；其二，TIMSS 的變異數以 JK2 折刀法估計，依 JKZONE 與 JKREP 兩欄即時建構重複權重，PISA 則使用 Fay 平衡重複半樣本法搭配 80 組現成的重複權重；其三，權重欄位名稱不同。</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JK2 的作法為：將學校在每個折刀區內兩兩配對，對第 h 區產生一組重複權重——該區中 JKREP 為 1 者權重加倍、為 0 者歸零，其餘各區維持原權重；變異數為各區估計值與全樣本估計值離差平方和。此處不含 Fay 法的縮放係數，因加倍與歸零本身已內含縮放。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本研究為此另行撰寫估計核心，並以獨立實作交叉驗證：臺灣八年級數學平均 602.430，標準誤 3.074（抽樣成分 2.758、推估成分 1.359，93 組重複權重），兩者逐位數一致。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七個大型教育資料庫的設計比較</w:t>
      </w:r>
    </w:p>
    <w:tbl xmlns:a="http://schemas.openxmlformats.org/drawingml/2006/main" xmlns:pic="http://schemas.openxmlformats.org/drawingml/2006/picture">
      <w:tblPr>
        <w:tblLayout w:type="fixed"/>
        <w:jc w:val="start"/>
        <w:tblLook w:firstRow="1" w:lastRow="0" w:firstColumn="0" w:lastColumn="0" w:noHBand="0" w:noVBand="1"/>
      </w:tblPr>
      <w:tblGrid>
        <w:gridCol w:w="1700"/>
        <w:gridCol w:w="1466"/>
        <w:gridCol w:w="1500"/>
        <w:gridCol w:w="1033"/>
        <w:gridCol w:w="1978"/>
        <w:gridCol w:w="1188"/>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資料庫</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設計</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推估值</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變異數估計</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取得方式</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 歲學生</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 個</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Fay BRR（80 組）</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四與八年級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PIRLS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四年級閱讀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ICCS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八年級公民</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需接受授權</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教師與校長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Fay BRR（100 組）</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國中小各年級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依年份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依技術報告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需申請</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TEPS／TEPS-B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追蹤（panel）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同一批學生多波</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多波測量</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追蹤樣本權重</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需申請</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TIMSS、PIRLS 與 ICCS 同屬 IEA 系列，設計一致故可共用估計核心；TALIS 為教師與校長調查，不測學生能力因而沒有合理推估值，其 Fay 係數為本研究自資料判定（重複權重與最終權重的比值集中於 0.5 與 1.5）。TEPS 為其中唯一的追蹤設計，自 2001 年起追蹤同一批學生，因此也是唯一能進行個人成長軌跡、交叉延宕模型與個體固定效果分析的資料庫。PISA 與 TIMSS 皆為重複橫斷設計，每輪抽取不同學生，僅能進行群體層次的趨勢比較。</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二、TIMSS 2023 八年級結果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臺灣八年級數學平均 602.4 分（SE = 3.07），在 47 個參與經濟體中排名第 2，僅次於新加坡的 605.3 分；科學平均 571.8 分（SE = 2.40），同樣排名第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八年級數學：各國平均與 95% 信賴區間</w:t>
      </w:r>
    </w:p>
    <w:p>
      <w:pPr>
        <w:pStyle w:val="centered"/>
      </w:pPr>
      <w:r>
        <w:rPr/>
        <w:drawing>
          <wp:inline distT="0" distB="0" distL="0" distR="0">
            <wp:extent cx="5733288" cy="5733288"/>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5"/>
                    <a:stretch>
                      <a:fillRect/>
                    </a:stretch>
                  </pic:blipFill>
                  <pic:spPr bwMode="auto">
                    <a:xfrm>
                      <a:off x="0" y="0"/>
                      <a:ext cx="5733288" cy="573328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個合理推估值搭配 JK2 折刀法估計，虛線為四個國際基準點（400、475、550、625 分）。臺灣數學平均 602.4 分（SE = 3.07），排名第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八年級科學：各國平均與 95% 信賴區間</w:t>
      </w:r>
    </w:p>
    <w:p>
      <w:pPr>
        <w:pStyle w:val="centered"/>
      </w:pPr>
      <w:r>
        <w:rPr/>
        <w:drawing>
          <wp:inline distT="0" distB="0" distL="0" distR="0">
            <wp:extent cx="5733288" cy="5733288"/>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46"/>
                    <a:stretch>
                      <a:fillRect/>
                    </a:stretch>
                  </pic:blipFill>
                  <pic:spPr bwMode="auto">
                    <a:xfrm>
                      <a:off x="0" y="0"/>
                      <a:ext cx="5733288" cy="573328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個合理推估值搭配 JK2 折刀法估計，虛線為四個國際基準點（400、475、550、625 分）。臺灣科學平均 571.8 分（SE = 2.40），排名第 2。</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以國際基準點觀之，臺灣八年級學生達數學低標（400 分）者占 97.1%、中標（475 分）88.8%、高標（550 分）72.2%、高階（625 分）44.4%。達高階基準的比率在全體經濟體中排名第二，僅次於新加坡的 46.3%。科學的對應比率分別為 95.9%、84.9%、62.3% 與 29.7%。</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八年級數學：達各國際基準的學生比率</w:t>
      </w:r>
    </w:p>
    <w:p>
      <w:pPr>
        <w:pStyle w:val="centered"/>
      </w:pPr>
      <w:r>
        <w:rPr/>
        <w:drawing>
          <wp:inline distT="0" distB="0" distL="0" distR="0">
            <wp:extent cx="5733288" cy="5512777"/>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47"/>
                    <a:stretch>
                      <a:fillRect/>
                    </a:stretch>
                  </pic:blipFill>
                  <pic:spPr bwMode="auto">
                    <a:xfrm>
                      <a:off x="0" y="0"/>
                      <a:ext cx="5733288" cy="551277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四個基準為巢狀關係，達高階者必然亦達其餘三標，故長條相互覆蓋而非堆疊。依達高階基準的比率排序。臺灣數學達高階基準者占 44.4%。</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八年級科學：達各國際基準的學生比率</w:t>
      </w:r>
    </w:p>
    <w:p>
      <w:pPr>
        <w:pStyle w:val="centered"/>
      </w:pPr>
      <w:r>
        <w:rPr/>
        <w:drawing>
          <wp:inline distT="0" distB="0" distL="0" distR="0">
            <wp:extent cx="5733288" cy="5512777"/>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48"/>
                    <a:stretch>
                      <a:fillRect/>
                    </a:stretch>
                  </pic:blipFill>
                  <pic:spPr bwMode="auto">
                    <a:xfrm>
                      <a:off x="0" y="0"/>
                      <a:ext cx="5733288" cy="551277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四個基準為巢狀關係，達高階者必然亦達其餘三標，故長條相互覆蓋而非堆疊。依達高階基準的比率排序。臺灣科學達高階基準者占 29.7%。</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與 TIMSS 2023 數學表現的對照</w:t>
      </w:r>
    </w:p>
    <w:p>
      <w:pPr>
        <w:pStyle w:val="centered"/>
      </w:pPr>
      <w:r>
        <w:rPr/>
        <w:drawing>
          <wp:inline distT="0" distB="0" distL="0" distR="0">
            <wp:extent cx="5733288" cy="3969199"/>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49"/>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 PISA 2022 數學（15 歲，應用素養），縱軸為 TIMSS 2023 八年級數學（課程本位），虛線為線性趨勢。共 36 個同時參加兩項評比的經濟體，兩者相關係數為 0.948。兩套量尺不同，不可直接相減，此圖呈現的是相對位置。臺灣在兩項評比中均居前列，與創造思考的第 16 名形成對比。</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三、TIMSS 2023 四年級與 PIRLS 2021</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為避免結論受單一年級或單一學科取向影響，本研究另納入 TIMSS 2023 四年級（63 個經濟體、395,961 名學生）與 PIRLS 2021 四年級閱讀（65 個經濟體、367,575 名學生）。三套 IEA 評比的抽樣與計分設計相同，均為 5 個合理推估值搭配 JK2 折刀法，故可共用同一估計核心。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臺灣四年級數學平均 607.0 分排名第 2、科學 572.6 分排名第 3，表現與八年級一致。惟四年級閱讀（PIRLS）平均 543.8 分（SE = 2.15）僅排名第 15，與數理科目的排名形成明顯落差。須特別說明，TIMSS 四年級與八年級為獨立抽取的樣本，並非同一批學生的追蹤，兩者分數之差不可解讀為成長。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臺灣在九項國際評比中的相對位置</w:t>
      </w:r>
    </w:p>
    <w:p>
      <w:pPr>
        <w:pStyle w:val="centered"/>
      </w:pPr>
      <w:r>
        <w:rPr/>
        <w:drawing>
          <wp:inline distT="0" distB="0" distL="0" distR="0">
            <wp:extent cx="5733288" cy="3642324"/>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0"/>
                    <a:stretch>
                      <a:fillRect/>
                    </a:stretch>
                  </pic:blipFill>
                  <pic:spPr bwMode="auto">
                    <a:xfrm>
                      <a:off x="0" y="0"/>
                      <a:ext cx="5733288" cy="364232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各評比參與國數不同，故以百分位表示相對位置，100% 代表第 1 名。臺灣在數學與科學各項均在 96 百分位以上，惟四年級閱讀落在 78.5、創造思考 76.2。此一落差並非量測誤差，而是穩定出現於不同評比、不同年齡與不同主辦單位的一致形態，具政策意涵。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四年級數學：各國平均與 95% 信賴區間</w:t>
      </w:r>
    </w:p>
    <w:p>
      <w:pPr>
        <w:pStyle w:val="centered"/>
      </w:pPr>
      <w:r>
        <w:rPr/>
        <w:drawing>
          <wp:inline distT="0" distB="0" distL="0" distR="0">
            <wp:extent cx="5733288" cy="6497726"/>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1"/>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臺灣四年級數學平均 607.0 分（SE = 1.74），排名第 2。虛線為四個國際基準點。四年級與八年級為獨立樣本，不可解讀為同一批學生的成長。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四年級科學：各國平均與 95% 信賴區間</w:t>
      </w:r>
    </w:p>
    <w:p>
      <w:pPr>
        <w:pStyle w:val="centered"/>
      </w:pPr>
      <w:r>
        <w:rPr/>
        <w:drawing>
          <wp:inline distT="0" distB="0" distL="0" distR="0">
            <wp:extent cx="5733288" cy="6497726"/>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2"/>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臺灣四年級科學平均 572.6 分（SE = 1.74），排名第 3。虛線為四個國際基準點。四年級與八年級為獨立樣本，不可解讀為同一批學生的成長。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四年級閱讀：各國平均與 95% 信賴區間</w:t>
      </w:r>
    </w:p>
    <w:p>
      <w:pPr>
        <w:pStyle w:val="centered"/>
      </w:pPr>
      <w:r>
        <w:rPr/>
        <w:drawing>
          <wp:inline distT="0" distB="0" distL="0" distR="0">
            <wp:extent cx="5733288" cy="6497726"/>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3"/>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臺灣平均 543.8 分（SE = 2.15），在 65 個參與者中排名第 15。部分參與者為次國家層級的標竿實體，如莫斯科市、加拿大各省與比利時語區。本研究採數位施測（digitalPIRLS）的主樣本；紙筆檔為橋接研究，用於連結歷年趨勢，未納入本次估計。</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閱讀分測驗的相對強弱</w:t>
      </w:r>
    </w:p>
    <w:p>
      <w:pPr>
        <w:pStyle w:val="centered"/>
      </w:pPr>
      <w:r>
        <w:rPr/>
        <w:drawing>
          <wp:inline distT="0" distB="0" distL="0" distR="0">
            <wp:extent cx="5733288" cy="4224528"/>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4"/>
                    <a:stretch>
                      <a:fillRect/>
                    </a:stretch>
                  </pic:blipFill>
                  <pic:spPr bwMode="auto">
                    <a:xfrm>
                      <a:off x="0" y="0"/>
                      <a:ext cx="5733288" cy="422452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各分測驗分數減去該國整體閱讀分數，正值代表相對強項。臺灣四年級學生在「獲取資訊」相對強（+5.6 分），在「文學經驗」相對弱（-10.8 分）。此一形態與 PISA 創造思考的相對落後，可能指向同一個課程面向。</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四、ICCS 2022 公民知識</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國際公民教育與素養調查（ICCS）由 IEA 主辦，測量八年級學生的公民與公民素養知識。2022 年共 24 個參與者、82,321 名學生，其抽樣與計分設計與 TIMSS 及 PIRLS 相同，可共用同一估計核心。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臺灣公民知識平均 583.1 分（SE = 2.30），在 24 個參與者中排名第 1，領先第二名瑞典 18.4 分。這是臺灣在本研究涵蓋的十項國際評比中相對位置最高的一項，與創造思考的第 16 名形成強烈對比。</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2022 公民知識：各參與者平均與 95% 信賴區間</w:t>
      </w:r>
    </w:p>
    <w:p>
      <w:pPr>
        <w:pStyle w:val="centered"/>
      </w:pPr>
      <w:r>
        <w:rPr/>
        <w:drawing>
          <wp:inline distT="0" distB="0" distL="0" distR="0">
            <wp:extent cx="5733288" cy="4410222"/>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55"/>
                    <a:stretch>
                      <a:fillRect/>
                    </a:stretch>
                  </pic:blipFill>
                  <pic:spPr bwMode="auto">
                    <a:xfrm>
                      <a:off x="0" y="0"/>
                      <a:ext cx="5733288" cy="441022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 583.1 分（SE = 2.30）居首。參與者中包含德國的兩個邦（什列斯威－霍爾斯坦、北萊茵－西發利亞），屬次國家層級的參與實體。折刀區數依各參與者的抽樣設計而異，介於 15 至 75 之間。</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臺灣在九項國際評比中的相對位置</w:t>
      </w:r>
    </w:p>
    <w:tbl xmlns:a="http://schemas.openxmlformats.org/drawingml/2006/main" xmlns:pic="http://schemas.openxmlformats.org/drawingml/2006/picture">
      <w:tblPr>
        <w:tblLayout w:type="fixed"/>
        <w:jc w:val="start"/>
        <w:tblLook w:firstRow="1" w:lastRow="0" w:firstColumn="0" w:lastColumn="0" w:noHBand="0" w:noVBand="1"/>
      </w:tblPr>
      <w:tblGrid>
        <w:gridCol w:w="1828"/>
        <w:gridCol w:w="722"/>
        <w:gridCol w:w="1033"/>
        <w:gridCol w:w="1094"/>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評比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百分位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類別</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ICCS 公民知識</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公民</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四年級數學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八年級數學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八年級科學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四年級科學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PIRLS 四年級閱讀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創造思考</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76.2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創造思考</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百分位以 100 乘以（1 減去（名次減 1）除以參與者數）計算，100% 代表第 1 名。各評比的量尺、施測年齡與主辦單位不同，分數不可直接比較，此表僅比較相對位置。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八年級各國估計值</w:t>
      </w:r>
    </w:p>
    <w:tbl xmlns:a="http://schemas.openxmlformats.org/drawingml/2006/main" xmlns:pic="http://schemas.openxmlformats.org/drawingml/2006/picture">
      <w:tblPr>
        <w:tblLayout w:type="fixed"/>
        <w:jc w:val="start"/>
        <w:tblLook w:firstRow="1" w:lastRow="0" w:firstColumn="0" w:lastColumn="0" w:noHBand="0" w:noVBand="1"/>
      </w:tblPr>
      <w:tblGrid>
        <w:gridCol w:w="722"/>
        <w:gridCol w:w="1344"/>
        <w:gridCol w:w="861"/>
        <w:gridCol w:w="761"/>
        <w:gridCol w:w="938"/>
        <w:gridCol w:w="861"/>
        <w:gridCol w:w="1033"/>
        <w:gridCol w:w="9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高階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樣本數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605.3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606.1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4,772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5,543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4,257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4,463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阿布達比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8,164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英格蘭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5,090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8,110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5,082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5,421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4,639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8,442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4,925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5,880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6,324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4,591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3,994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3,722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6,385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賽普勒斯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4,200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32,740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8,074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5,198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4,511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6,174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4,872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杜拜</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12,109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5,168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伊朗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6,226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4,339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4,478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8,226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8,780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科威特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4,332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5,882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南非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11,940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6,962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6,532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22,770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8,745</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象牙海岸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8,284</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依數學平均分數排序。高階欄為達 625 分國際基準的加權學生比率。標準誤以 5 個合理推估值搭配 JK2 折刀法估計，折刀區數依各國抽樣設計而異，介於 50 至 125 之間。</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玖、結論與研究限制</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一、主要發現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第一，臺灣學生在兩套國際評比中均居前列，惟兩者測量的構念不同。PISA 2022 數學排名第 3、科學第 4、閱讀第 5；TIMSS 2023 八年級數學與科學均排名第 2。前者測應用素養，後者測課程本位的學習成果，兩項評比在 36 個共同參與的經濟體間相關達 0.948，臺灣在兩者皆表現優異，顯示課程實施與素養轉化均有成效。</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第二，創造思考是明顯的例外。臺灣創造思考在 63 個經濟體中排名第 16，與數學的第 3 名落差 13 個名次。名次落差最大的三個體制為澳門、香港與臺灣，而韓國僅差 4 名、新加坡兩項皆為第 1，可見此非東亞的共同現象。此結果指向特定課程與評量取向的影響，值得政策層面關注。</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第三，成績提升伴隨分配擴大而非整體平移。臺灣數學未達基礎水準者的比率自 2018 年的 13.98% 上升至 2022 年的 14.61%，同期達高表現水準者自 23.19% 上升至 31.73%，兩端同時擴張。</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第四，教育機會的分化同時出現在個人與學校兩個層次。個人層次上，社經梯度自 2018 年的 38.1 分升至 2022 年的 49.3 分（每一個 ESCS 標準差），高於全體中位數 33.3 分。學校層次上，校間變異比例自 33.8% 升至 40.5%，且校間差異中有 71.2% 對應到學生組成的社經落差，較 2015 年的 61.3% 為高。</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第五，Mundlak 分解顯示分化的主要載體是學校而非家庭。臺灣的校內個人社經效應為每一個標準差 20.8 分，學校社經組成效應則達 131.6 分，脈絡效應 110.8 分（SE = 6.30）。就讀哪一所學校對成績的影響約為個人家庭背景在校內影響的六倍，學校組成效應在全體國家中排名第三。此結果指出，若政策目標為縮小成就落差，介入點應在學校之間的資源與生源分布，而非僅止於個別學生的補救。</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第六，跨五套評比十個項目的相對位置呈現一致形態。臺灣公民知識居 24 個參與者之首（百分位 100.0），數學與科學各項均在 96 百分位以上，惟 PIRLS 四年級閱讀落在 78.5 百分位、PISA 創造思考 76.2 百分位。此一落差跨越不同年齡、不同主辦單位與不同測驗取向而穩定存在，難以歸因於單一評比的特性，指向課程與評量重心的結構性議題：臺灣學生在有明確知識結構與標準答案的領域表現卓越，在開放性與詮釋性任務上的相對位置則明顯較低。</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二、方法學上的提醒</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第一，跨輪次比較必須納入連結誤差。本研究實證顯示，在全部 396 組跨輪次比較中，有 16 組於忽略連結誤差時會得到錯誤的顯著性結論，標準誤最多被低估至 2.44 倍。</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第二，加權與否對結果的影響遠大於一般預期。以 PISA 2022 數學為例，80 個國家與經濟體的加權與未加權平均差異中位數為 2.07 分，最大達 20.60 分。臺灣為正向差異最大者：未加權 534.02 分，加權後 547.13 分，相差 13.11 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第三，不同資料庫不可共用同一套分析程式。TIMSS 與 PIRLS 使用 5 個合理推估值與 JK2 折刀法，PISA 使用 10 個推估值與 Fay 平衡重複半樣本法。將 PISA 的程式直接套用於 IEA 系列評比不會產生錯誤訊息，但標準誤是錯的。本研究為此另行撰寫估計核心，並以獨立實作逐位數驗證；TIMSS 與 PIRLS 因設計相同，可共用同一核心。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第四，設計基礎分解與模型基礎的變異成分是不同的估計標的，不宜互相取代或視為驗證失敗。本研究對同一份資料所得的 0.405 與 0.422、0.455，差異來自估計標的與權重縮放方式，三者的總變異數本身即不相同。研究報告宜明確交代所採用的定義。</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三、研究限制</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第一，PISA 與 TIMSS 均屬重複橫斷設計而非追蹤設計。每一輪抽取的是不同學生，並無任何學生被重複測量。因此本研究的所有趨勢結果均為群體層次的比較，不得詮釋為個別學生的成長軌跡，亦不適用潛在成長模型、交叉延宕模型或個體層次的固定效果模型。若研究問題必須探討個人成長，須改用具追蹤設計的資料，如臺灣教育長期追蹤資料庫（TEPS、TEPS-B）。</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第二，跨輪次可比性有其上限。各領域最早僅能回溯至其首次成為主測領域的輪次：閱讀為 2000 年、數學為 2003 年、科學為 2006 年。此外，PISA 自 2015 年起主要改採電腦施測，跨越該年的比較其不確定性本質上高於其後各輪之間的比較。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第三，ESCS 指標於 2022 年重新校準，各輪原始 ESCS 不可直接比較。本研究涉及社經地位的跨輪分析已改用 OECD 發布之 trend ESCS，惟該檔僅涵蓋 2012、2015 與 2018 三輪，故社經地位的可比區間較成績趨勢為窄。</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第四，PISA 2022 的施測期間橫跨 COVID-19 疫情，部分國家延後施測或調整樣本。詮釋 2018 年至 2022 年的變化時，教育政策效果與疫情衝擊難以分離。</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第五，PISA 2012 年以前的輪次未納入。OECD 於 2024 年改版官方網站，舊有檔案網址失效，新頁面啟用人機驗證機制，無法以程式自動取得。此部分需以人工方式下載，且提供的是 ASCII 定寬檔配合統計軟體讀取語法，而非現成的資料檔。</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第六，臺灣本土大型資料庫尚未納入。TASA 與 TEPS 均需經申請程序方能取得，本研究已完成接入流程的建置，惟資料到位前無法進行實際分析。TEPS 為其中唯一的追蹤設計，若能納入，將可補足本研究在個人成長軌跡上的空缺。</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參考文獻</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(2023). PISA 2022 results (Volume I): The state of learning and equity in education. OECD Publishing. https://doi.org/10.1787/53f23881-en</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(2024). PISA 2022 technical report. OECD Publishing. https://doi.org/10.1787/01820d6d-en</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(2009). PISA data analysis manual: SPSS (2nd ed.). OECD Publishing.</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Mullis, I. V. S., von Davier, M., Foy, P., Fishbein, B., Reynolds, K. A., &amp; Wry, E. (2023). TIMSS 2023 international results in mathematics and science.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von Davier, M., Kennedy, A., Reynolds, K., Fishbein, B., Khorramdel, L., Aldrich, C., Bookbinder, A., Bezirhan, U., &amp; Yin, L. (2024). TIMSS 2023 technical report.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Mundlak, Y. (1978). On the pooling of time series and cross section data. Econometrica, 46(1), 69-85.</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Mullis, I. V. S., von Davier, M., Foy, P., Fishbein, B., Reynolds, K. A., &amp; Wry, E. (2023). PIRLS 2021 international results in reading.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Schulz, W., Ainley, J., Fraillon, J., Losito, B., Agrusti, G., Damiani, V., &amp; Friedman, T. (2024). Education for citizenship in times of global challenge: IEA International Civic and Citizenship Education Study 2022 international report. IEA.</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Rubin, D. B. (1987). Multiple imputation for nonresponse in surveys. John Wiley &amp; Sons.</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Judkins, D. R. (1990). Fay's method for variance estimation. Journal of Official Statistics, 6(3), 223–239.</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Wolter, K. M. (2007). Introduction to variance estimation (2nd ed.). Springer.</w:t>
      </w:r>
    </w:p>
    <w:sectPr>
      <w:pgMar w:header="720" w:bottom="1440" w:top="1440" w:right="1440" w:left="1440" w:footer="720"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1dde4bdd40347d82d99ae1f141d526b49d9c0d7d.png"/>
<Relationship Id="rId8" Type="http://schemas.openxmlformats.org/officeDocument/2006/relationships/image" Target="media/ba7005b08c78aa41fadb09ba9437a5025a2f1920.png"/>
<Relationship Id="rId9" Type="http://schemas.openxmlformats.org/officeDocument/2006/relationships/image" Target="media/92a170d846c91b7d7d2174d05831032cb8bcf271.png"/>
<Relationship Id="rId10" Type="http://schemas.openxmlformats.org/officeDocument/2006/relationships/image" Target="media/f260962db2e2eff94a541aef647cb3ab356ee8aa.png"/>
<Relationship Id="rId11" Type="http://schemas.openxmlformats.org/officeDocument/2006/relationships/image" Target="media/b5f5e1863fbb569c98e69ff38e5563ad8c3d0518.png"/>
<Relationship Id="rId12" Type="http://schemas.openxmlformats.org/officeDocument/2006/relationships/image" Target="media/e6634984d79ffbb997df4f50d8973b9f3f4d44c4.png"/>
<Relationship Id="rId13" Type="http://schemas.openxmlformats.org/officeDocument/2006/relationships/image" Target="media/e70488c7ad2fd27185130e55e75be9cb933214b7.png"/>
<Relationship Id="rId14" Type="http://schemas.openxmlformats.org/officeDocument/2006/relationships/image" Target="media/6a11165bc845e20582910eeb5b0e387eaf032d27.png"/>
<Relationship Id="rId15" Type="http://schemas.openxmlformats.org/officeDocument/2006/relationships/image" Target="media/5be5acaf1cf887ad71b90e0d087fe6a6103a5218.png"/>
<Relationship Id="rId16" Type="http://schemas.openxmlformats.org/officeDocument/2006/relationships/image" Target="media/f8c0a78384dbd4af1c64d670aa735bd54ceed144.png"/>
<Relationship Id="rId17" Type="http://schemas.openxmlformats.org/officeDocument/2006/relationships/image" Target="media/91c682b3566179d89a81a8d31b384619c724b147.png"/>
<Relationship Id="rId18" Type="http://schemas.openxmlformats.org/officeDocument/2006/relationships/image" Target="media/6207eb95f5459d869184a60253982e40ba17ce4a.png"/>
<Relationship Id="rId19" Type="http://schemas.openxmlformats.org/officeDocument/2006/relationships/image" Target="media/bdb3d22544508b2602a116a321761701d131f7c9.png"/>
<Relationship Id="rId20" Type="http://schemas.openxmlformats.org/officeDocument/2006/relationships/image" Target="media/9025e99a3432b2c247c6bb2bdac21352b7f365bb.png"/>
<Relationship Id="rId21" Type="http://schemas.openxmlformats.org/officeDocument/2006/relationships/image" Target="media/4a150234e825e07baf45b438686cfea862114c3d.png"/>
<Relationship Id="rId22" Type="http://schemas.openxmlformats.org/officeDocument/2006/relationships/image" Target="media/a5b1901327a16c2a19341d31f38847285e4dfc88.png"/>
<Relationship Id="rId23" Type="http://schemas.openxmlformats.org/officeDocument/2006/relationships/image" Target="media/0e0cc3f56c6b7603be6566a30890e0b4e3fbdeff.png"/>
<Relationship Id="rId24" Type="http://schemas.openxmlformats.org/officeDocument/2006/relationships/image" Target="media/ee6e90392443cfe0b897e86255e17191d6dee074.png"/>
<Relationship Id="rId25" Type="http://schemas.openxmlformats.org/officeDocument/2006/relationships/image" Target="media/dad986fd286bc1309f69ff2cde7fac92d77a6114.png"/>
<Relationship Id="rId26" Type="http://schemas.openxmlformats.org/officeDocument/2006/relationships/image" Target="media/edb7162374cd2a0fedd420e5ed7817f0af947f0d.png"/>
<Relationship Id="rId27" Type="http://schemas.openxmlformats.org/officeDocument/2006/relationships/image" Target="media/c8b5fea47566fe780a4b96ac76713bcbf7616a8f.png"/>
<Relationship Id="rId28" Type="http://schemas.openxmlformats.org/officeDocument/2006/relationships/image" Target="media/50b1c59dea6704383c5fd68e64e0d68e97aaa649.png"/>
<Relationship Id="rId29" Type="http://schemas.openxmlformats.org/officeDocument/2006/relationships/image" Target="media/7ccab230e7442d05ec7316b5677e31f873501670.png"/>
<Relationship Id="rId30" Type="http://schemas.openxmlformats.org/officeDocument/2006/relationships/image" Target="media/690a3d908d349d6c7c87ccaf3b5b5eeeb1b955da.png"/>
<Relationship Id="rId31" Type="http://schemas.openxmlformats.org/officeDocument/2006/relationships/image" Target="media/d80d6815e472fa68f68931519f0c52821f0cb2c5.png"/>
<Relationship Id="rId32" Type="http://schemas.openxmlformats.org/officeDocument/2006/relationships/image" Target="media/86a3be0bec2d5abf4f2f029e81a586958447e5d5.png"/>
<Relationship Id="rId33" Type="http://schemas.openxmlformats.org/officeDocument/2006/relationships/image" Target="media/09c71d3960e938d33e53c2271513ceb9d0ed3f53.png"/>
<Relationship Id="rId34" Type="http://schemas.openxmlformats.org/officeDocument/2006/relationships/image" Target="media/ba4831e14c6d33c9db81079ee0b27a6270a5f834.png"/>
<Relationship Id="rId35" Type="http://schemas.openxmlformats.org/officeDocument/2006/relationships/image" Target="media/962e2c987a9e7ece80c07324a8b85574f46d1186.png"/>
<Relationship Id="rId36" Type="http://schemas.openxmlformats.org/officeDocument/2006/relationships/image" Target="media/34253c3586b6baa3ff040f5f0e7743122f34854a.png"/>
<Relationship Id="rId37" Type="http://schemas.openxmlformats.org/officeDocument/2006/relationships/image" Target="media/2b986257d5885b2d1b39bd487324f5b21d56f272.png"/>
<Relationship Id="rId38" Type="http://schemas.openxmlformats.org/officeDocument/2006/relationships/image" Target="media/10da8303d384993889209d842d55ae36d1d6498a.png"/>
<Relationship Id="rId39" Type="http://schemas.openxmlformats.org/officeDocument/2006/relationships/image" Target="media/50131adde7d41b0b52c37aeaaa34991b44646255.png"/>
<Relationship Id="rId40" Type="http://schemas.openxmlformats.org/officeDocument/2006/relationships/image" Target="media/a502113f8793999305128f99b8ff3926721addca.png"/>
<Relationship Id="rId41" Type="http://schemas.openxmlformats.org/officeDocument/2006/relationships/image" Target="media/55abe45790a5c06f1c5563d3f18bcce686495545.png"/>
<Relationship Id="rId42" Type="http://schemas.openxmlformats.org/officeDocument/2006/relationships/image" Target="media/0d1679c60d27e1735ded5052f3b3db56441f4500.png"/>
<Relationship Id="rId43" Type="http://schemas.openxmlformats.org/officeDocument/2006/relationships/image" Target="media/afcc255374852493cc2caf381d38e3b710c0b9ac.png"/>
<Relationship Id="rId44" Type="http://schemas.openxmlformats.org/officeDocument/2006/relationships/image" Target="media/94a0e08fda3f0378daadde004b0a35f1dd241c08.png"/>
<Relationship Id="rId45" Type="http://schemas.openxmlformats.org/officeDocument/2006/relationships/image" Target="media/d45d1e8273c0be97928f9fc075c16f37d03a9d0c.png"/>
<Relationship Id="rId46" Type="http://schemas.openxmlformats.org/officeDocument/2006/relationships/image" Target="media/5ab6a0968cc44ba159abfd7ecd975064870c3d29.png"/>
<Relationship Id="rId47" Type="http://schemas.openxmlformats.org/officeDocument/2006/relationships/image" Target="media/518fcaf73b9854d4c1fae817c5d768af02a7905b.png"/>
<Relationship Id="rId48" Type="http://schemas.openxmlformats.org/officeDocument/2006/relationships/image" Target="media/3f97de5b9f1a74d18d60b65529f10f013577e5d9.png"/>
<Relationship Id="rId49" Type="http://schemas.openxmlformats.org/officeDocument/2006/relationships/image" Target="media/320bb8fb35088c94e2d9e884f690dda23f66c10e.png"/>
<Relationship Id="rId50" Type="http://schemas.openxmlformats.org/officeDocument/2006/relationships/image" Target="media/4e671344be0f4b04d6053806a56b3f0f0115dd19.png"/>
<Relationship Id="rId51" Type="http://schemas.openxmlformats.org/officeDocument/2006/relationships/image" Target="media/2d85c516251ae44c51897b993d268acede8645ec.png"/>
<Relationship Id="rId52" Type="http://schemas.openxmlformats.org/officeDocument/2006/relationships/image" Target="media/9df00f0a44bd102fb575767fc92b2208a453ad29.png"/>
<Relationship Id="rId53" Type="http://schemas.openxmlformats.org/officeDocument/2006/relationships/image" Target="media/ca98e8112be87db94a1eaa6cd5a2cf75894b660f.png"/>
<Relationship Id="rId54" Type="http://schemas.openxmlformats.org/officeDocument/2006/relationships/image" Target="media/cd1cabda2aba87bc1656fab1d39ea9b1ca95cb2a.png"/>
<Relationship Id="rId55" Type="http://schemas.openxmlformats.org/officeDocument/2006/relationships/image" Target="media/6d8c303df915dfcf91c81147002e3a5e84201ba2.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yi-an</cp:lastModifiedBy>
  <cp:revision>9</cp:revision>
  <dcterms:created xsi:type="dcterms:W3CDTF">2017-02-28T11:18:00Z</dcterms:created>
  <dcterms:modified xsi:type="dcterms:W3CDTF">2026-08-28T16:49:12Z</dcterms:modified>
  <cp:category/>
</cp:coreProperties>
</file>