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32"/>
          <w:szCs w:val="32"/>
          <w:color w:val="000000"/>
        </w:rPr>
        <w:t xml:space="preserve">PISA 2015–2022 國際學生能力評量結果分析</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6"/>
          <w:szCs w:val="26"/>
          <w:color w:val="000000"/>
        </w:rPr>
        <w:t xml:space="preserve">加權估計、精熟等級分布與跨輪次趨勢</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12"/>
          <w:szCs w:val="12"/>
          <w:color w:val="000000"/>
        </w:rPr>
        <w:t xml:space="preserv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分析樣本：1,745,082 名學生，98 個國家與經濟體</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資料來源：OECD PISA 公開使用檔（2015、2018、2022）</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報告產生日期：2026 年 08 月 28 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壹、研究方法</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一、資料來源與樣本</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本研究使用經濟合作暨發展組織（OECD）國際學生能力評量計畫（Programme for International Student Assessment, PISA）2015、2018 與 2022 三個輪次的公開使用檔（Public Use Files）。三輪合計 1,745,082 名 15 歲學生，涵蓋 98 個國家與經濟體。各輪參與數分別為 2015 年 73 個、2018 年 80 個、2022 年 80 個。臺灣三輪的學生樣本數分別為 7,708 人、7,243 人與 5,857 人。</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須特別說明者，OECD 並未將越南 2018 年的合理推估值置於主學生檔，而是另以獨立檔案發布；本研究已將該檔併入，故越南 2018 年的估計值完整可用。</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二、抽樣設計與權重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採兩階段叢集抽樣：第一階段依學校規模機率抽取學校，第二階段於校內隨機抽取學生。由於各校與各生被抽中的機率不同，每筆資料均帶有最終學生權重（W_FSTUWT）。本研究所有估計值一律加權；未加權的統計量描述的是樣本而非母體，不具推論意義。</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變異數估計採用 Fay 平衡重複半樣本法（balanced repeated replication, BRR），使用官方提供的 80 組重複權重（W_FSTURWT1 至 W_FSTURWT80），Fay 係數設為 0.5。此方法可正確反映叢集抽樣造成的設計效應；若逕以簡單隨機抽樣公式計算標準誤，將嚴重低估不確定性。</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三、合理推估值與變異數合併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的能力分數並非直接測得，而是以項目反應理論搭配潛在迴歸模型，自學生能力的後驗分配抽取 10 個合理推估值（plausible values）。本研究對每個推估值分別估計，再依 Rubin 規則合併，總變異數為抽樣變異與推估變異之和：</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V = V</w:t>
      </w:r>
      <w:r>
        <w:rPr>
          <w:rFonts w:ascii="Times New Roman" w:hAnsi="Times New Roman" w:eastAsia="BiauKaiTC" w:cs="BiauKaiTC"/>
          <w:i w:val="false"/>
          <w:b w:val="false"/>
          <w:u w:val="none"/>
          <w:strike w:val="false"/>
          <w:sz w:val="18"/>
          <w:szCs w:val="18"/>
          <w:color w:val="000000"/>
        </w:rPr>
        <w:t xml:space="preserve">抽樣</w:t>
      </w:r>
      <w:r>
        <w:rPr>
          <w:rFonts w:ascii="Times New Roman" w:hAnsi="Times New Roman" w:eastAsia="BiauKaiTC" w:cs="BiauKaiTC"/>
          <w:i w:val="false"/>
          <w:b w:val="false"/>
          <w:u w:val="none"/>
          <w:strike w:val="false"/>
          <w:sz w:val="24"/>
          <w:szCs w:val="24"/>
          <w:color w:val="000000"/>
        </w:rPr>
        <w:t xml:space="preserve"> + (1 + 1/M) × B</w:t>
      </w:r>
      <w:r>
        <w:rPr>
          <w:rFonts w:ascii="Times New Roman" w:hAnsi="Times New Roman" w:eastAsia="BiauKaiTC" w:cs="BiauKaiTC"/>
          <w:i w:val="false"/>
          <w:b w:val="false"/>
          <w:u w:val="none"/>
          <w:strike w:val="false"/>
          <w:sz w:val="18"/>
          <w:szCs w:val="18"/>
          <w:color w:val="000000"/>
        </w:rPr>
        <w:t xml:space="preserve">M</w:t>
      </w:r>
      <w:r>
        <w:rPr>
          <w:rFonts w:ascii="Times New Roman" w:hAnsi="Times New Roman" w:eastAsia="BiauKaiTC" w:cs="BiauKaiTC"/>
          <w:i w:val="false"/>
          <w:b w:val="false"/>
          <w:u w:val="none"/>
          <w:strike w:val="false"/>
          <w:sz w:val="24"/>
          <w:szCs w:val="24"/>
          <w:color w:val="000000"/>
        </w:rPr>
        <w:t xml:space="preserve">，M = 10</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其中抽樣變異以 80 組重複權重估計，推估變異為 10 個推估值之間的變異。僅使用單一個推估值，或先將 10 個推估值平均再視為觀測值，兩者皆會低估標準誤。</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四、跨輪次比較與連結誤差</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各輪分數雖位於同一連結量尺上，但量尺連結本身存在不確定性，稱為連結誤差（link error）。跨輪次差異檢定的標準誤應為三項之和開根號：</w:t>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false"/>
          <w:u w:val="none"/>
          <w:strike w:val="false"/>
          <w:sz w:val="24"/>
          <w:szCs w:val="24"/>
          <w:color w:val="000000"/>
        </w:rPr>
        <w:t xml:space="preserve">SE</w:t>
      </w:r>
      <w:r>
        <w:rPr>
          <w:rFonts w:ascii="Times New Roman" w:hAnsi="Times New Roman" w:eastAsia="BiauKaiTC" w:cs="BiauKaiTC"/>
          <w:i w:val="false"/>
          <w:b w:val="false"/>
          <w:u w:val="none"/>
          <w:strike w:val="false"/>
          <w:sz w:val="18"/>
          <w:szCs w:val="18"/>
          <w:color w:val="000000"/>
        </w:rPr>
        <w:t xml:space="preserve">差異</w:t>
      </w:r>
      <w:r>
        <w:rPr>
          <w:rFonts w:ascii="Times New Roman" w:hAnsi="Times New Roman" w:eastAsia="BiauKaiTC" w:cs="BiauKaiTC"/>
          <w:i w:val="false"/>
          <w:b w:val="false"/>
          <w:u w:val="none"/>
          <w:strike w:val="false"/>
          <w:sz w:val="24"/>
          <w:szCs w:val="24"/>
          <w:color w:val="000000"/>
        </w:rPr>
        <w:t xml:space="preserve"> = √(SE₁² + SE₂² + 連結誤差²)</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連結誤差與樣本大小無關，增加樣本並不能使其縮小。本研究所採用的數值取自 PISA 2022 技術報告 Annex Table 14.A.19（見表 3）。省略此項是趨勢分析最常見的錯誤，其後果詳見本報告第參節。</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五、分析工具與驗證</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全部估計於 R 4.5.2 環境完成，圖表以 ggplot2 繪製。估計核心經三種獨立實作交叉驗證：自建函式庫、intsvy 套件，以及 survey 套件為基礎的複雜抽樣估計程序。以臺灣 2022 年數學為例，三者均得平均數 547.09、標準誤 3.778（抽樣成分 3.728、推估成分 0.611）。臺灣 2015 年三領域的估計值亦與 OECD 公布結果一致。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各輪次樣本結構</w:t>
      </w:r>
    </w:p>
    <w:tbl xmlns:a="http://schemas.openxmlformats.org/drawingml/2006/main" xmlns:pic="http://schemas.openxmlformats.org/drawingml/2006/picture">
      <w:tblPr>
        <w:tblLayout w:type="fixed"/>
        <w:jc w:val="start"/>
        <w:tblLook w:firstRow="1" w:lastRow="0" w:firstColumn="0" w:lastColumn="0" w:noHBand="0" w:noVBand="1"/>
      </w:tblPr>
      <w:tblGrid>
        <w:gridCol w:w="861"/>
        <w:gridCol w:w="1061"/>
        <w:gridCol w:w="1500"/>
        <w:gridCol w:w="1188"/>
        <w:gridCol w:w="1188"/>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輪次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國家與經濟體數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臺灣學生數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臺灣學校數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519,334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192</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613,744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182</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學生數為未加權的樣本人數。加權後各輪代表該國全體 15 歲在學學生母體。2015 年參與數較少，係因部分國家自 2018 年起始加入。</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貳、描述統計結果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數學各國加權平均與未加權平均之差</w:t>
      </w:r>
    </w:p>
    <w:p>
      <w:pPr>
        <w:pStyle w:val="centered"/>
      </w:pPr>
      <w:r>
        <w:rPr/>
        <w:drawing>
          <wp:inline distT="0" distB="0" distL="0" distR="0">
            <wp:extent cx="5733288" cy="6879946"/>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33288" cy="687994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差值為加權平均減未加權平均，臺灣以深色標示。80 個國家與經濟體的差異中位數為 2.07 分，最大達 20.60 分（泰國，加權後較低）。臺灣為正向差異最大者：未加權平均 534.02 分，加權後 547.13 分，相差 13.11 分。此結果顯示忽略抽樣權重並非小數點後的誤差問題，而會實質改變國際比較的相對位置。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臺灣學生分數的加權分配（2015、2018、2022）</w:t>
      </w:r>
    </w:p>
    <w:p>
      <w:pPr>
        <w:pStyle w:val="centered"/>
      </w:pPr>
      <w:r>
        <w:rPr/>
        <w:drawing>
          <wp:inline distT="0" distB="0" distL="0" distR="0">
            <wp:extent cx="5733288" cy="2675534"/>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本圖將 10 個合理推估值全數攤平並各給予十分之一權重，再以最終學生權重加權，此為描述能力分配的正確作法。三個領域在 2022 年的分配整體右移，惟分配寬度亦同步增加，顯示平均數上升的同時個別差異亦擴大。若先將 10 個推估值平均後再繪圖，會系統性低估分配的離散程度。</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臺灣分數分布的加權五數概括</w:t>
      </w:r>
    </w:p>
    <w:p>
      <w:pPr>
        <w:pStyle w:val="centered"/>
      </w:pPr>
      <w:r>
        <w:rPr/>
        <w:drawing>
          <wp:inline distT="0" distB="0" distL="0" distR="0">
            <wp:extent cx="5733288" cy="2675534"/>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733288" cy="267553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盒為加權四分位距，鬚為加權第 5 與第 95 百分位，均以最終學生權重計算加權分位數，非樣本分位數。2022 年三領域的中位數皆高於 2018 年，惟盒身與鬚長亦同時增加，與圖 2 的分配形態一致。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臺灣學生家庭社經地位（ESCS）的加權分布</w:t>
      </w:r>
    </w:p>
    <w:p>
      <w:pPr>
        <w:pStyle w:val="centered"/>
      </w:pPr>
      <w:r>
        <w:rPr/>
        <w:drawing>
          <wp:inline distT="0" distB="0" distL="0" distR="0">
            <wp:extent cx="5733288" cy="305775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733288" cy="3057754"/>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ESCS 為 OECD 建構之經濟社會文化地位綜合指標，由父母職業地位、父母教育程度與家庭教育資產三者合成，並標準化為 2022 年 OECD 國家平均為 0、標準差為 1。虛線標示該基準。須注意各輪原始 ESCS 的量尺並不相同，跨輪比較須改用 OECD 另行發布的 trend ESCS。</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標準誤的兩個變異來源（PISA 2022）</w:t>
      </w:r>
    </w:p>
    <w:p>
      <w:pPr>
        <w:pStyle w:val="centered"/>
      </w:pPr>
      <w:r>
        <w:rPr/>
        <w:drawing>
          <wp:inline distT="0" distB="0" distL="0" distR="0">
            <wp:extent cx="5733288" cy="2773101"/>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抽樣變異源自複雜抽樣設計，以 80 組 Fay 重複權重估計；推估變異源自能力值係自後驗分配抽取而非直接測得。在九個焦點經濟體中，推估變異占總變異的比例介於 1.99%（臺灣科學）至 39.89%（新加坡閱讀）之間，中位數為 5.97%。僅使用單一個推估值會完全遺漏此一成分。</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參、趨勢分析結果</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東亞主要經濟體與對照國的各輪平均分數與 95% 信賴區間</w:t>
      </w:r>
    </w:p>
    <w:p>
      <w:pPr>
        <w:pStyle w:val="centered"/>
      </w:pPr>
      <w:r>
        <w:rPr/>
        <w:drawing>
          <wp:inline distT="0" distB="0" distL="0" distR="0">
            <wp:extent cx="5733288" cy="2773101"/>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陰影帶為 95% 信賴區間，臺灣以粗線標示。臺灣三輪數學平均分別為 542.3、531.1 與 547.1 分；閱讀為 497.1、502.6 與 515.2 分；科學為 532.4、515.8 與 537.4 分。2018 年為三輪中的低點，選擇不同基期將導致不同的趨勢結論。信賴區間重疊並不等同於差異未達顯著，正式檢定須另納入連結誤差。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臺灣三輪次平均分數與跨輪次檢定</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94"/>
        <w:gridCol w:w="1394"/>
        <w:gridCol w:w="1394"/>
        <w:gridCol w:w="1772"/>
        <w:gridCol w:w="8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2022</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2018→2022 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值</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542.3 (3.03)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531.1 (2.89)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 (3.78)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497.1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502.6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515.2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0.006</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532.4 (2.69)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515.8 (2.87)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537.4 (3.31)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括號內為標準誤。變化欄為 2022 年減 2018 年。p 值以納入連結誤差之標準誤計算，數學連結誤差為 2.24 分、閱讀 1.47 分、科學 1.61 分。三個領域自 2018 年至 2022 年的進步均達統計顯著。惟若以 2015 年為基期，數學與科學的變化則未達顯著，顯示基期選擇對結論具決定性影響。</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與各輪次比較之連結誤差</w:t>
      </w:r>
    </w:p>
    <w:tbl xmlns:a="http://schemas.openxmlformats.org/drawingml/2006/main" xmlns:pic="http://schemas.openxmlformats.org/drawingml/2006/picture">
      <w:tblPr>
        <w:tblLayout w:type="fixed"/>
        <w:jc w:val="start"/>
        <w:tblLook w:firstRow="1" w:lastRow="0" w:firstColumn="0" w:lastColumn="0" w:noHBand="0" w:noVBand="1"/>
      </w:tblPr>
      <w:tblGrid>
        <w:gridCol w:w="1994"/>
        <w:gridCol w:w="761"/>
        <w:gridCol w:w="761"/>
        <w:gridCol w:w="761"/>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財金素養</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2000 → 2022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2003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2006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2009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2012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2015 →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2018 → 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2.20</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資料來源：PISA 2022 技術報告 Annex Table 14.A.19。破折號表示該領域於該輪次尚非主測領域，OECD 明示不可比較：數學最早可回溯至 2003 年、閱讀至 2000 年、科學至 2006 年。連結誤差數值差異甚大，2018 年至 2022 年的閱讀僅 1.47 分，2006 年至 2022 年則達 8.56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本研究對全部 396 組跨輪次比較（3 個領域 × 2 個基期 × 各國）同時計算兩種標準誤：忽略連結誤差者與正確納入者。結果顯示，其中 16 組在忽略連結誤差時判定為統計顯著，正確計算後則否；標準誤最多被低估至 2.44 倍。此比例雖非多數，但足以說明省略連結誤差會實質提高型一錯誤率。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數學：2015 年至 2022 年變化的兩種信賴區間對照</w:t>
      </w:r>
    </w:p>
    <w:p>
      <w:pPr>
        <w:pStyle w:val="centered"/>
      </w:pPr>
      <w:r>
        <w:rPr/>
        <w:drawing>
          <wp:inline distT="0" distB="0" distL="0" distR="0">
            <wp:extent cx="5733288" cy="6758665"/>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2.74 分，共 61 個國家與經濟體參與比較。忽略連結誤差時有 45 組判為顯著，正確計算後為 44 組，其中 1 組結論改變，標準誤最多被低估至 2.03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數學：2018 年至 2022 年變化的兩種信賴區間對照</w:t>
      </w:r>
    </w:p>
    <w:p>
      <w:pPr>
        <w:pStyle w:val="centered"/>
      </w:pPr>
      <w:r>
        <w:rPr/>
        <w:drawing>
          <wp:inline distT="0" distB="0" distL="0" distR="0">
            <wp:extent cx="5733288" cy="6758665"/>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2.24 分，共 71 個國家與經濟體參與比較。忽略連結誤差時有 53 組判為顯著，正確計算後為 47 組，其中 6 組結論改變，標準誤最多被低估至 1.81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閱讀：2015 年至 2022 年變化的兩種信賴區間對照</w:t>
      </w:r>
    </w:p>
    <w:p>
      <w:pPr>
        <w:pStyle w:val="centered"/>
      </w:pPr>
      <w:r>
        <w:rPr/>
        <w:drawing>
          <wp:inline distT="0" distB="0" distL="0" distR="0">
            <wp:extent cx="5733288" cy="6758665"/>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3.63 分，共 61 個國家與經濟體參與比較。忽略連結誤差時有 41 組判為顯著，正確計算後為 34 組，其中 7 組結論改變，標準誤最多被低估至 2.44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閱讀：2018 年至 2022 年變化的兩種信賴區間對照</w:t>
      </w:r>
    </w:p>
    <w:p>
      <w:pPr>
        <w:pStyle w:val="centered"/>
      </w:pPr>
      <w:r>
        <w:rPr/>
        <w:drawing>
          <wp:inline distT="0" distB="0" distL="0" distR="0">
            <wp:extent cx="5733288" cy="6758665"/>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1.47 分，共 71 個國家與經濟體參與比較。忽略連結誤差時有 43 組判為顯著，正確計算後為 43 組，其中 0 組結論改變，標準誤最多被低估至 1.47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科學：2015 年至 2022 年變化的兩種信賴區間對照</w:t>
      </w:r>
    </w:p>
    <w:p>
      <w:pPr>
        <w:pStyle w:val="centered"/>
      </w:pPr>
      <w:r>
        <w:rPr/>
        <w:drawing>
          <wp:inline distT="0" distB="0" distL="0" distR="0">
            <wp:extent cx="5733288" cy="6758665"/>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1.38 分，共 61 個國家與經濟體參與比較。忽略連結誤差時有 39 組判為顯著，正確計算後為 37 組，其中 2 組結論改變，標準誤最多被低估至 1.34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科學：2018 年至 2022 年變化的兩種信賴區間對照</w:t>
      </w:r>
    </w:p>
    <w:p>
      <w:pPr>
        <w:pStyle w:val="centered"/>
      </w:pPr>
      <w:r>
        <w:rPr/>
        <w:drawing>
          <wp:inline distT="0" distB="0" distL="0" distR="0">
            <wp:extent cx="5733288" cy="6758665"/>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粗線為忽略連結誤差的 95% 信賴區間，細線為正確納入後的區間，兩者之差即為連結誤差帶來的額外不確定性；紅點標示結論因此改變的國家。本組比較的連結誤差為 1.61 分，共 71 個國家與經濟體參與比較。忽略連結誤差時有 37 組判為顯著，正確計算後為 37 組，其中 0 組結論改變，標準誤最多被低估至 1.38 倍。</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因納入連結誤差而改變統計結論的比較</w:t>
      </w:r>
    </w:p>
    <w:tbl xmlns:a="http://schemas.openxmlformats.org/drawingml/2006/main" xmlns:pic="http://schemas.openxmlformats.org/drawingml/2006/picture">
      <w:tblPr>
        <w:tblLayout w:type="fixed"/>
        <w:jc w:val="start"/>
        <w:tblLook w:firstRow="1" w:lastRow="0" w:firstColumn="0" w:lastColumn="0" w:noHBand="0" w:noVBand="1"/>
      </w:tblPr>
      <w:tblGrid>
        <w:gridCol w:w="1344"/>
        <w:gridCol w:w="722"/>
        <w:gridCol w:w="861"/>
        <w:gridCol w:w="773"/>
        <w:gridCol w:w="1005"/>
        <w:gridCol w:w="961"/>
        <w:gridCol w:w="1005"/>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領域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基期</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變化</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忽略</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 正確</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 正確</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0.0044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0.0841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0.0851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0.0875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0.0820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0.0883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0.0955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0.1373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0.2276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0.0558</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0.0146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0.0677</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下列各組於忽略連結誤差時判定為顯著（p &lt; .05），正確計算後則未達顯著。變化欄為 2022 年減基期年之分數差。此表為圖 7 至圖 12 中紅點所標示者之完整清單。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肆、各國比較結果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共 80 個國家與經濟體參與三個核心領域。臺灣的表現在數學居第 3 位、科學第 4 位、閱讀第 5 位。須注意排名之間的差距未必具統計意義，相鄰名次的信賴區間多有重疊。</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數學各國平均分數與 95% 信賴區間</w:t>
      </w:r>
    </w:p>
    <w:p>
      <w:pPr>
        <w:pStyle w:val="centered"/>
      </w:pPr>
      <w:r>
        <w:rPr/>
        <w:drawing>
          <wp:inline distT="0" distB="0" distL="0" distR="0">
            <wp:extent cx="5733288" cy="7029011"/>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信賴區間，圓點為加權平均分數，臺灣以深色標示。臺灣數學平均 547.1 分（SE = 3.78），在 80 個國家與經濟體中居第 3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閱讀各國平均分數與 95% 信賴區間</w:t>
      </w:r>
    </w:p>
    <w:p>
      <w:pPr>
        <w:pStyle w:val="centered"/>
      </w:pPr>
      <w:r>
        <w:rPr/>
        <w:drawing>
          <wp:inline distT="0" distB="0" distL="0" distR="0">
            <wp:extent cx="5733288" cy="7029011"/>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信賴區間，圓點為加權平均分數，臺灣以深色標示。臺灣閱讀平均 515.2 分（SE = 3.25），在 80 個國家與經濟體中居第 5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科學各國平均分數與 95% 信賴區間</w:t>
      </w:r>
    </w:p>
    <w:p>
      <w:pPr>
        <w:pStyle w:val="centered"/>
      </w:pPr>
      <w:r>
        <w:rPr/>
        <w:drawing>
          <wp:inline distT="0" distB="0" distL="0" distR="0">
            <wp:extent cx="5733288" cy="7029011"/>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信賴區間，圓點為加權平均分數，臺灣以深色標示。臺灣科學平均 537.4 分（SE = 3.31），在 80 個國家與經濟體中居第 4 位。兩國信賴區間重疊時，其差異未必達統計顯著。</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數學各國估計值一覽</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672"/>
        <w:gridCol w:w="582"/>
        <w:gridCol w:w="1106"/>
        <w:gridCol w:w="1106"/>
        <w:gridCol w:w="1022"/>
        <w:gridCol w:w="762"/>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平均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未達 L2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L5 以上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ESCS 斜率</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樣本數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6,606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4,384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5,907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6,392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8,286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6,721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5,373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6,072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4,682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3,127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5,824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3,360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7,250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5,576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24,600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6,403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7,364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19,769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6,107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6,235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7,676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6,488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5,793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7,720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8,495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6,583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6,928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6,610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6,113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7,804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3,873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6,129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7,905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7,293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7,799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4,544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6,027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7,193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5,190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6,705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6,868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5,084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 5,279</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依平均分數排序。未達 L2 為未達基礎精熟水準（Level 2）的加權學生比率，L5 以上為達高表現水準的比率，切點取自 PISA 2022 技術報告 Annex Table 17.A.2。ESCS 斜率為家庭社經地位每增加一個標準差對應的分數變動，以合理推估值加權迴歸估計。閱讀與科學的對應數值請見隨附之互動式平台。</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伍、教育公平性結果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本節以兩個指標檢視教育公平性：其一為社經梯度，即家庭社經地位對成績的迴歸斜率，斜率越大表示家庭背景的影響越強；其二為精熟等級兩端的學生比率，用以判斷分數變化係整體平移或分配拉開。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臺灣的數學社經梯度自 2015 年的 40.4 分、2018 年的 38.1 分，上升至 2022 年的 49.3 分（每一個標準差）。2022 年 80 個國家與經濟體的中位數為 33.3 分，臺灣明顯高於中位數。此結果顯示臺灣在平均成績上升的同時，家庭背景對學習成就的解釋力亦同步增強。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數學：平均分數與社經梯度</w:t>
      </w:r>
    </w:p>
    <w:p>
      <w:pPr>
        <w:pStyle w:val="centered"/>
      </w:pPr>
      <w:r>
        <w:rPr/>
        <w:drawing>
          <wp:inline distT="0" distB="0" distL="0" distR="0">
            <wp:extent cx="5733288" cy="3969199"/>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每增加一個標準差對應的分數變動，橫軸為平均分數，虛線為全體中位數。右下象限代表高成就且相對公平，右上象限代表高成就但家庭背景影響強。數學領域全體中位數為 33.3 分，全距自 8.1 分至 53.3 分，臺灣為 49.3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閱讀：平均分數與社經梯度</w:t>
      </w:r>
    </w:p>
    <w:p>
      <w:pPr>
        <w:pStyle w:val="centered"/>
      </w:pPr>
      <w:r>
        <w:rPr/>
        <w:drawing>
          <wp:inline distT="0" distB="0" distL="0" distR="0">
            <wp:extent cx="5733288" cy="3969199"/>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每增加一個標準差對應的分數變動，橫軸為平均分數，虛線為全體中位數。右下象限代表高成就且相對公平，右上象限代表高成就但家庭背景影響強。閱讀領域全體中位數為 34.0 分，全距自 3.5 分至 51.5 分，臺灣為 39.9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科學：平均分數與社經梯度</w:t>
      </w:r>
    </w:p>
    <w:p>
      <w:pPr>
        <w:pStyle w:val="centered"/>
      </w:pPr>
      <w:r>
        <w:rPr/>
        <w:drawing>
          <wp:inline distT="0" distB="0" distL="0" distR="0">
            <wp:extent cx="5733288" cy="3969199"/>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 ESCS 每增加一個標準差對應的分數變動，橫軸為平均分數，虛線為全體中位數。右下象限代表高成就且相對公平，右上象限代表高成就但家庭背景影響強。科學領域全體中位數為 34.2 分，全距自 3.7 分至 54.9 分，臺灣為 41.7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19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數學：未達基礎水準與高表現學生比率</w:t>
      </w:r>
    </w:p>
    <w:p>
      <w:pPr>
        <w:pStyle w:val="centered"/>
      </w:pPr>
      <w:r>
        <w:rPr/>
        <w:drawing>
          <wp:inline distT="0" distB="0" distL="0" distR="0">
            <wp:extent cx="5733288" cy="6758665"/>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以上者，依前者由高至低排序。臺灣數學未達 Level 2 的比率自 2018 年的 13.98% 上升至 2022 年的 14.61%，同期達 Level 5 以上者自 23.19% 上升至 31.73%。兩端比率同時上升，顯示變化並非整體平移，而是分配向兩側拉開。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閱讀：未達基礎水準與高表現學生比率</w:t>
      </w:r>
    </w:p>
    <w:p>
      <w:pPr>
        <w:pStyle w:val="centered"/>
      </w:pPr>
      <w:r>
        <w:rPr/>
        <w:drawing>
          <wp:inline distT="0" distB="0" distL="0" distR="0">
            <wp:extent cx="5733288" cy="6758665"/>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以上者，依前者由高至低排序。臺灣閱讀未達 Level 2 的比率自 2018 年的 17.81% 上升至 2022 年的 15.80%，同期達 Level 5 以上者自 10.91% 上升至 14.01%。兩端比率同時上升，顯示變化並非整體平移，而是分配向兩側拉開。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科學：未達基礎水準與高表現學生比率</w:t>
      </w:r>
    </w:p>
    <w:p>
      <w:pPr>
        <w:pStyle w:val="centered"/>
      </w:pPr>
      <w:r>
        <w:rPr/>
        <w:drawing>
          <wp:inline distT="0" distB="0" distL="0" distR="0">
            <wp:extent cx="5733288" cy="6758665"/>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27"/>
                    <a:stretch>
                      <a:fillRect/>
                    </a:stretch>
                  </pic:blipFill>
                  <pic:spPr bwMode="auto">
                    <a:xfrm>
                      <a:off x="0" y="0"/>
                      <a:ext cx="5733288" cy="6758665"/>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左側為未達 Level 2（基礎精熟水準）的加權學生比率，右側為達 Level 5 以上者，依前者由高至低排序。臺灣科學未達 Level 2 的比率自 2018 年的 15.15% 上升至 2022 年的 12.08%，同期達 Level 5 以上者自 11.67% 上升至 17.78%。兩端比率同時上升，顯示變化並非整體平移，而是分配向兩側拉開。</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數學：女學生與男學生之分數差</w:t>
      </w:r>
    </w:p>
    <w:p>
      <w:pPr>
        <w:pStyle w:val="centered"/>
      </w:pPr>
      <w:r>
        <w:rPr/>
        <w:drawing>
          <wp:inline distT="0" distB="0" distL="0" distR="0">
            <wp:extent cx="5733288" cy="7029011"/>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28"/>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信賴區間，淡色表示差異未達統計顯著。臺灣數學領域的性別差距為 -5.6 分（SE = 6.63，p = 0.396）。同一輪次內的兩組比較位於同一次量尺連結上，故不需納入連結誤差。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閱讀：女學生與男學生之分數差</w:t>
      </w:r>
    </w:p>
    <w:p>
      <w:pPr>
        <w:pStyle w:val="centered"/>
      </w:pPr>
      <w:r>
        <w:rPr/>
        <w:drawing>
          <wp:inline distT="0" distB="0" distL="0" distR="0">
            <wp:extent cx="5733288" cy="7029011"/>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29"/>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信賴區間，淡色表示差異未達統計顯著。臺灣閱讀領域的性別差距為 +26.9 分（SE = 5.76，p = 0.000）。同一輪次內的兩組比較位於同一次量尺連結上，故不需納入連結誤差。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科學：女學生與男學生之分數差</w:t>
      </w:r>
    </w:p>
    <w:p>
      <w:pPr>
        <w:pStyle w:val="centered"/>
      </w:pPr>
      <w:r>
        <w:rPr/>
        <w:drawing>
          <wp:inline distT="0" distB="0" distL="0" distR="0">
            <wp:extent cx="5733288" cy="7029011"/>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0"/>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正值代表女學生分數較高，橫線為 95% 信賴區間，淡色表示差異未達統計顯著。臺灣科學領域的性別差距為 -3.4 分（SE = 5.83，p = 0.565）。同一輪次內的兩組比較位於同一次量尺連結上，故不需納入連結誤差。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陸、學校層級分析結果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學生嵌套於學校，成績的總變異可依全變異數分解律精確拆成兩塊：同一所學校之內的差異（校內變異），與學校平均數之間的差異（校間變異）。兩者相加恆等於總變異。校間變異占總變異的比例，即為組內相關係數（ICC），是大型評比最常引用的公平性指標之一——數值越高，代表學生成績越取決於其就讀的學校而非個人條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臺灣數學的校間變異比例自 2015 年的 37.9%、2018 年的 33.8%，上升至 2022 年的 40.5%。作為對照，分流體制明顯的荷蘭為 61.9%、匈牙利 60.8%，綜合型學制的芬蘭僅 11.6%、冰島 11.8%。臺灣在 2018 年至 2022 年之間的上升幅度值得注意，顯示校際隔離加深。</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校間變異比例的跨輪次變化</w:t>
      </w:r>
    </w:p>
    <w:p>
      <w:pPr>
        <w:pStyle w:val="centered"/>
      </w:pPr>
      <w:r>
        <w:rPr/>
        <w:drawing>
          <wp:inline distT="0" distB="0" distL="0" distR="0">
            <wp:extent cx="5733288" cy="2773101"/>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31"/>
                    <a:stretch>
                      <a:fillRect/>
                    </a:stretch>
                  </pic:blipFill>
                  <pic:spPr bwMode="auto">
                    <a:xfrm>
                      <a:off x="0" y="0"/>
                      <a:ext cx="5733288" cy="277310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縱軸為校間變異占總變異的百分比，臺灣以粗線標示。臺灣數學自 2018 年的 33.8% 升至 2022 年的 40.5%。芬蘭三輪均維持在 12% 上下，是綜合型學制的代表。分解為恆等式：校間加校內等於總變異；本研究的實作在未加權情形下已與單因子變異數分析的平方和逐項比對，差異量級為 10 的負 11 次方。</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數學：校間變異占總變異的比例</w:t>
      </w:r>
    </w:p>
    <w:p>
      <w:pPr>
        <w:pStyle w:val="centered"/>
      </w:pPr>
      <w:r>
        <w:rPr/>
        <w:drawing>
          <wp:inline distT="0" distB="0" distL="0" distR="0">
            <wp:extent cx="5733288" cy="7029011"/>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32"/>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信賴區間。臺灣數學的校間變異比例為 40.5%，全體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閱讀：校間變異占總變異的比例</w:t>
      </w:r>
    </w:p>
    <w:p>
      <w:pPr>
        <w:pStyle w:val="centered"/>
      </w:pPr>
      <w:r>
        <w:rPr/>
        <w:drawing>
          <wp:inline distT="0" distB="0" distL="0" distR="0">
            <wp:extent cx="5733288" cy="7029011"/>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33"/>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信賴區間。臺灣閱讀的校間變異比例為 33.2%，全體 80 個國家與經濟體的中位數為 34.0%。數值越高，代表學生成績越取決於其就讀的學校。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科學：校間變異占總變異的比例</w:t>
      </w:r>
    </w:p>
    <w:p>
      <w:pPr>
        <w:pStyle w:val="centered"/>
      </w:pPr>
      <w:r>
        <w:rPr/>
        <w:drawing>
          <wp:inline distT="0" distB="0" distL="0" distR="0">
            <wp:extent cx="5733288" cy="7029011"/>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34"/>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橫線為 95% 信賴區間。臺灣科學的校間變異比例為 38.1%，全體 80 個國家與經濟體的中位數為 33.4%。數值越高，代表學生成績越取決於其就讀的學校。</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校間差異本身並不必然代表不公平，關鍵在於這些差異對應到什麼。若學校之間的成績落差幾乎就是學生社經組成落差的投影，則校際差異即為社會分層在教育體系中的再現。本研究以校平均分數對校平均 ESCS 的加權迴歸（學校依其學生權重總和加權）估計此一比例。</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臺灣數學的此一比例自 2015 年的 61.3%、2018 年的 67.1%，升至 2022 年的 71.2%。亦即校際成績落差中，有超過七成對應到學生組成的社經落差，且比例仍在上升。</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29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數學：學校社經組成解釋的校間差異比例</w:t>
      </w:r>
    </w:p>
    <w:p>
      <w:pPr>
        <w:pStyle w:val="centered"/>
      </w:pPr>
      <w:r>
        <w:rPr/>
        <w:drawing>
          <wp:inline distT="0" distB="0" distL="0" distR="0">
            <wp:extent cx="5733288" cy="7029011"/>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35"/>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R²，學校依學生權重總和加權，使結果代表母體而非樣本學校。臺灣數學為 71.2%，全體中位數 58.4%。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閱讀：學校社經組成解釋的校間差異比例</w:t>
      </w:r>
    </w:p>
    <w:p>
      <w:pPr>
        <w:pStyle w:val="centered"/>
      </w:pPr>
      <w:r>
        <w:rPr/>
        <w:drawing>
          <wp:inline distT="0" distB="0" distL="0" distR="0">
            <wp:extent cx="5733288" cy="7029011"/>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36"/>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R²，學校依學生權重總和加權，使結果代表母體而非樣本學校。臺灣閱讀為 65.1%，全體中位數 55.9%。</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科學：學校社經組成解釋的校間差異比例</w:t>
      </w:r>
    </w:p>
    <w:p>
      <w:pPr>
        <w:pStyle w:val="centered"/>
      </w:pPr>
      <w:r>
        <w:rPr/>
        <w:drawing>
          <wp:inline distT="0" distB="0" distL="0" distR="0">
            <wp:extent cx="5733288" cy="7029011"/>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37"/>
                    <a:stretch>
                      <a:fillRect/>
                    </a:stretch>
                  </pic:blipFill>
                  <pic:spPr bwMode="auto">
                    <a:xfrm>
                      <a:off x="0" y="0"/>
                      <a:ext cx="5733288" cy="7029011"/>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校平均分數對校平均 ESCS 迴歸的加權 R²，學校依學生權重總和加權，使結果代表母體而非樣本學校。臺灣科學為 66.5%，全體中位數 56.6%。</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為釐清機制，本研究採 Mundlak 分解，將學生 ESCS 拆為兩個成分：其一為該生與同校同學的社經差距（校內成分），其二為該校的平均社經水準（校間成分）。兩者係數之差即脈絡效應，可解讀為：同一名學生若轉入社經背景較佳的學校，預期能多得幾分。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 2022 年數學的校內個人效應為每一個標準差 20.8 分，學校社經組成效應則高達 131.6 分，脈絡效應 110.8 分（SE = 6.30）。換言之，在臺灣「就讀哪一所學校」對成績的影響，約為「個人家庭背景在校內」影響的六倍。學校組成效應在全體國家中排名第三，僅次於荷蘭（157.9 分）與日本（134.3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數學：個人社經效應與學校社經組成效應</w:t>
      </w:r>
    </w:p>
    <w:p>
      <w:pPr>
        <w:pStyle w:val="centered"/>
      </w:pPr>
      <w:r>
        <w:rPr/>
        <w:drawing>
          <wp:inline distT="0" distB="0" distL="0" distR="0">
            <wp:extent cx="5733288" cy="3969199"/>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38"/>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效應，虛線為兩者相等。落在虛線上方越遠，代表「就讀哪所學校」比「個人家庭背景」更決定成績。臺灣數學的兩個係數分別為 20.8 與 131.6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閱讀：個人社經效應與學校社經組成效應</w:t>
      </w:r>
    </w:p>
    <w:p>
      <w:pPr>
        <w:pStyle w:val="centered"/>
      </w:pPr>
      <w:r>
        <w:rPr/>
        <w:drawing>
          <wp:inline distT="0" distB="0" distL="0" distR="0">
            <wp:extent cx="5733288" cy="3969199"/>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3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效應，虛線為兩者相等。落在虛線上方越遠，代表「就讀哪所學校」比「個人家庭背景」更決定成績。臺灣閱讀的兩個係數分別為 17.0 與 106.1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科學：個人社經效應與學校社經組成效應</w:t>
      </w:r>
    </w:p>
    <w:p>
      <w:pPr>
        <w:pStyle w:val="centered"/>
      </w:pPr>
      <w:r>
        <w:rPr/>
        <w:drawing>
          <wp:inline distT="0" distB="0" distL="0" distR="0">
            <wp:extent cx="5733288" cy="3969199"/>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40"/>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橫軸為校內個人 ESCS 效應，縱軸為學校平均 ESCS 效應，虛線為兩者相等。落在虛線上方越遠，代表「就讀哪所學校」比「個人家庭背景」更決定成績。臺灣科學的兩個係數分別為 17.0 與 113.2 分。</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數學各國學校層級指標</w:t>
      </w:r>
    </w:p>
    <w:tbl xmlns:a="http://schemas.openxmlformats.org/drawingml/2006/main" xmlns:pic="http://schemas.openxmlformats.org/drawingml/2006/picture">
      <w:tblPr>
        <w:tblLayout w:type="fixed"/>
        <w:jc w:val="start"/>
        <w:tblLook w:firstRow="1" w:lastRow="0" w:firstColumn="0" w:lastColumn="0" w:noHBand="0" w:noVBand="1"/>
      </w:tblPr>
      <w:tblGrid>
        <w:gridCol w:w="547"/>
        <w:gridCol w:w="2022"/>
        <w:gridCol w:w="1022"/>
        <w:gridCol w:w="492"/>
        <w:gridCol w:w="1022"/>
        <w:gridCol w:w="827"/>
        <w:gridCol w:w="1107"/>
        <w:gridCol w:w="827"/>
        <w:gridCol w:w="687"/>
      </w:tblGrid>
      <w:tr>
        <w:trPr>
          <w:trHeight w:val="314"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校間變異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社經解釋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校內效應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學校組成效應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脈絡效應</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學校數</w:t>
            </w:r>
          </w:p>
        </w:tc>
      </w:tr>
      <w:tr>
        <w:trPr>
          <w:trHeight w:val="2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荷蘭</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瓜地馬拉</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越南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阿根廷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瑞士</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新加坡</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科索沃</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蒙特內哥羅</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188</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阿爾巴尼亞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柬埔寨</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英國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451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863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966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193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265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134</w:t>
            </w:r>
          </w:p>
        </w:tc>
      </w:tr>
      <w:tr>
        <w:trPr>
          <w:trHeight w:val="306"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芬蘭</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43.6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65.0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30.8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18"/>
                <w:szCs w:val="18"/>
                <w:color w:val="000000"/>
              </w:rPr>
            </w:pPr>
            <w:r>
              <w:rPr>
                <w:rFonts w:ascii="Times New Roman" w:hAnsi="Times New Roman" w:eastAsia="BiauKaiTC" w:cs="BiauKaiTC"/>
                <w:i w:val="false"/>
                <w:b w:val="false"/>
                <w:u w:val="none"/>
                <w:strike w:val="false"/>
                <w:sz w:val="18"/>
                <w:szCs w:val="18"/>
                <w:color w:val="000000"/>
              </w:rPr>
              <w:t xml:space="preserve">241</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依校間變異比例排序。校內效應與學校組成效應為 Mundlak 分解的兩個迴歸係數，單位為每一個 ESCS 標準差對應的分數；脈絡效應為兩者之差。閱讀與科學的對應數值請見隨附之互動式平台。</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方法交叉驗證：兩種估計標的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同一份臺灣 2022 年數學資料，本研究的設計基礎分解得校間變異比例 0.405，Mplus 的兩層隨機效果模型得 0.422（預設權重縮放）或 0.455（不縮放）。三者並非彼此矛盾，而是在估計不同的量。</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設計基礎分解回答的是描述性問題：在全體 15 歲學生的成績變異中，有多少比例落在學校之間。它使用完整抽樣權重，且校間與校內恆等相加為總變異。模型基礎的變異成分則是階層模型中的潛在參數，其總和不必等於觀測變異，且會隨權重縮放方式改變——三者的總變異數本身即不相同（12,413、13,118、13,580），此即差異不在計算而在估計標的的直接證據。</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迴歸係數的一致性則高得多：Mundlak 分解在本研究得校內效應 20.8、學校組成效應 131.6；Mplus 兩層模型得 19.9 與 125.0，差異來自 Mplus 僅使用單一個推估值且校層採隨機效果設定。Mplus 空模型的校間殘差變異自 5,537 降至 1,485，即學校社經組成解釋 73.2% 的校間變異；本研究的加權 R² 對同一問題給出 71.2%。兩條獨立路徑收斂至同一結論。</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柒、選考領域與數學分測驗結果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PISA 2022 除核心三領域外，另有創造思考與財金素養兩個選考領域，以及數學的八個分測驗（內容向度四項、歷程向度四項）。這些資料與核心領域同時發布，惟使用率遠低於核心領域。</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臺灣參加創造思考評量，得分 32.6（SE = 0.39），在 63 個參與經濟體中排名第 16。同一年臺灣數學排名第 3。名次落差最大的三個體制為澳門（差 19 名）、香港（18 名）與臺灣（13 名）；韓國僅差 4 名、新加坡兩項皆為第 1，可見此一落差並非東亞的共同現象，而是特定體制的特徵。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數學表現與創造思考表現的對照</w:t>
      </w:r>
    </w:p>
    <w:p>
      <w:pPr>
        <w:pStyle w:val="centered"/>
      </w:pPr>
      <w:r>
        <w:rPr/>
        <w:drawing>
          <wp:inline distT="0" distB="0" distL="0" distR="0">
            <wp:extent cx="5733288" cy="3969199"/>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41"/>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數學平均分數，縱軸為創造思考分數（0 至 60 分量尺），虛線為線性趨勢。落在趨勢線下方，代表創造思考低於同等數學水準所預期的表現。此結果對強調解題訓練的課程體制具政策意涵。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創造思考：各國平均與 95% 信賴區間</w:t>
      </w:r>
    </w:p>
    <w:p>
      <w:pPr>
        <w:pStyle w:val="centered"/>
      </w:pPr>
      <w:r>
        <w:rPr/>
        <w:drawing>
          <wp:inline distT="0" distB="0" distL="0" distR="0">
            <wp:extent cx="5733288" cy="6115507"/>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42"/>
                    <a:stretch>
                      <a:fillRect/>
                    </a:stretch>
                  </pic:blipFill>
                  <pic:spPr bwMode="auto">
                    <a:xfrm>
                      <a:off x="0" y="0"/>
                      <a:ext cx="5733288" cy="611550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共 63 個國家與經濟體參加。須特別說明資料處理上的一項陷阱：創造思考的認知檔本身不含抽樣權重，權重存放於主學生檔，必須以學生編號併回後方能進行加權估計；直接以認知檔計算會得到未加權的結果。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數學分測驗方面，臺灣八個向度的分數介於 546.1 至 551.4 分之間，全距僅 5.3 分，輪廓異常平坦，並無明顯的相對強項或弱項。此一結果與部分國家在特定向度上有顯著優勢的形態不同。</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數學分測驗的相對強弱</w:t>
      </w:r>
    </w:p>
    <w:p>
      <w:pPr>
        <w:pStyle w:val="centered"/>
      </w:pPr>
      <w:r>
        <w:rPr/>
        <w:drawing>
          <wp:inline distT="0" distB="0" distL="0" distR="0">
            <wp:extent cx="5733288" cy="4224528"/>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43"/>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數學分數，正值代表相對強項。內容向度包含變化與關係、數量、空間與形狀、不確定性與資料；歷程向度包含形成、應用、詮釋、推理。四個採紙筆施測的國家不產出分測驗分數，屬測驗設計使然而非資料缺漏。</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財金素養：各國平均與 95% 信賴區間</w:t>
      </w:r>
    </w:p>
    <w:p>
      <w:pPr>
        <w:pStyle w:val="centered"/>
      </w:pPr>
      <w:r>
        <w:rPr/>
        <w:drawing>
          <wp:inline distT="0" distB="0" distL="0" distR="0">
            <wp:extent cx="5733288" cy="38221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44"/>
                    <a:stretch>
                      <a:fillRect/>
                    </a:stretch>
                  </pic:blipFill>
                  <pic:spPr bwMode="auto">
                    <a:xfrm>
                      <a:off x="0" y="0"/>
                      <a:ext cx="5733288" cy="382219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僅 20 個國家與經濟體參加此選考領域，臺灣未參加。資料處理上須注意：該領域的壓縮檔內含三個資料檔，惟僅問卷檔含推估值與權重，試題檔與作答時間檔皆無。</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創造思考與數學表現對照</w:t>
      </w:r>
    </w:p>
    <w:tbl xmlns:a="http://schemas.openxmlformats.org/drawingml/2006/main" xmlns:pic="http://schemas.openxmlformats.org/drawingml/2006/picture">
      <w:tblPr>
        <w:tblLayout w:type="fixed"/>
        <w:jc w:val="start"/>
        <w:tblLook w:firstRow="1" w:lastRow="0" w:firstColumn="0" w:lastColumn="0" w:noHBand="0" w:noVBand="1"/>
      </w:tblPr>
      <w:tblGrid>
        <w:gridCol w:w="2361"/>
        <w:gridCol w:w="1033"/>
        <w:gridCol w:w="1033"/>
        <w:gridCol w:w="861"/>
        <w:gridCol w:w="1033"/>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名次落差</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加拿大</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愛沙尼亞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丹麥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拉脫維亞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比利時</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波蘭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西班牙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德國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荷蘭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克羅埃西亞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冰島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斯洛維尼亞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斯洛伐克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墨西哥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塞爾維亞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烏拉圭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阿拉伯聯合大公國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哥斯大黎加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希臘</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烏克蘭（27 區中的 18 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哥倫比亞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牙買加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蒙古</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摩爾多瓦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汶萊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秘魯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巴拿馬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薩爾瓦多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巴庫（亞塞拜然）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泰國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保加利亞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北馬其頓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印尼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多明尼加</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菲律賓</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阿爾巴尼亞</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依創造思考分數排序。名次落差為創造思考名次減數學名次，正值代表創造思考的相對表現落後於數學。創造思考採 0 至 60 分量尺，與數學的 PISA 量尺不同，不可直接比較分數，僅能比較相對位置。</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捌、IEA 系列評比結果與跨評比對照</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為避免單一評比的結論受其測驗取向影響，本研究另納入國際教育成就評鑑協會（IEA）主辦的國際數學與科學教育成就趨勢調查（TIMSS）2023 年八年級資料，共 47 個國家與經濟體、323,920 名學生。TIMSS 測量的是各國課程實際教授的內容，PISA 測量的是將知識應用於真實情境的能力，兩者評量的並非同一構念。</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一、TIMSS 與 PISA 的設計差異</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兩套評比的抽樣與計分設計不同，直接沿用 PISA 的分析程式雖不會產生錯誤訊息，卻會得到錯誤的標準誤。主要差異有三：其一，TIMSS 每個量尺提供 5 個合理推估值，PISA 為 10 個；其二，TIMSS 的變異數以 JK2 折刀法估計，依 JKZONE 與 JKREP 兩欄即時建構重複權重，PISA 則使用 Fay 平衡重複半樣本法搭配 80 組現成的重複權重；其三，權重欄位名稱不同。</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JK2 的作法為：將學校在每個折刀區內兩兩配對，對第 h 區產生一組重複權重——該區中 JKREP 為 1 者權重加倍、為 0 者歸零，其餘各區維持原權重；變異數為各區估計值與全樣本估計值離差平方和。此處不含 Fay 法的縮放係數，因加倍與歸零本身已內含縮放。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本研究為此另行撰寫估計核心，並以獨立實作交叉驗證：臺灣八年級數學平均 602.430，標準誤 3.074（抽樣成分 2.758、推估成分 1.359，93 組重複權重），兩者逐位數一致。</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四個大型教育資料庫的設計比較</w:t>
      </w:r>
    </w:p>
    <w:tbl xmlns:a="http://schemas.openxmlformats.org/drawingml/2006/main" xmlns:pic="http://schemas.openxmlformats.org/drawingml/2006/picture">
      <w:tblPr>
        <w:tblLayout w:type="fixed"/>
        <w:jc w:val="start"/>
        <w:tblLook w:firstRow="1" w:lastRow="0" w:firstColumn="0" w:lastColumn="0" w:noHBand="0" w:noVBand="1"/>
      </w:tblPr>
      <w:tblGrid>
        <w:gridCol w:w="1700"/>
        <w:gridCol w:w="1466"/>
        <w:gridCol w:w="1500"/>
        <w:gridCol w:w="1033"/>
        <w:gridCol w:w="1878"/>
        <w:gridCol w:w="1344"/>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資料庫</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設計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對象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推估值</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變異數估計</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取得方式</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 歲學生</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 個</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Fay BRR（80 組）</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官方直接下載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四年級與八年級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 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JK2 折刀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官方直接下載</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重複橫斷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國中小各年級</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依年份</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依技術報告</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TEPS／TEPS-B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追蹤（panel）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同一批學生多波</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多波測量</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追蹤樣本權重</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需申請</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TEPS 為其中唯一的追蹤設計，自 2001 年起追蹤同一批學生，因此也是唯一能進行個人成長軌跡、交叉延宕模型與個體固定效果分析的資料庫。PISA 與 TIMSS 皆為重複橫斷設計，每輪抽取不同學生，僅能進行群體層次的趨勢比較。</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二、TIMSS 2023 八年級結果</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臺灣八年級數學平均 602.4 分（SE = 3.07），在 47 個參與經濟體中排名第 2，僅次於新加坡的 605.3 分；科學平均 571.8 分（SE = 2.40），同樣排名第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39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八年級數學：各國平均與 95% 信賴區間</w:t>
      </w:r>
    </w:p>
    <w:p>
      <w:pPr>
        <w:pStyle w:val="centered"/>
      </w:pPr>
      <w:r>
        <w:rPr/>
        <w:drawing>
          <wp:inline distT="0" distB="0" distL="0" distR="0">
            <wp:extent cx="5733288" cy="5733288"/>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45"/>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分）。臺灣數學平均 602.4 分（SE = 3.07），排名第 2。</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八年級科學：各國平均與 95% 信賴區間</w:t>
      </w:r>
    </w:p>
    <w:p>
      <w:pPr>
        <w:pStyle w:val="centered"/>
      </w:pPr>
      <w:r>
        <w:rPr/>
        <w:drawing>
          <wp:inline distT="0" distB="0" distL="0" distR="0">
            <wp:extent cx="5733288" cy="5733288"/>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46"/>
                    <a:stretch>
                      <a:fillRect/>
                    </a:stretch>
                  </pic:blipFill>
                  <pic:spPr bwMode="auto">
                    <a:xfrm>
                      <a:off x="0" y="0"/>
                      <a:ext cx="5733288" cy="573328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以 5 個合理推估值搭配 JK2 折刀法估計，虛線為四個國際基準點（400、475、550、625 分）。臺灣科學平均 571.8 分（SE = 2.40），排名第 2。</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以國際基準點觀之，臺灣八年級學生達數學低標（400 分）者占 97.1%、中標（475 分）88.8%、高標（550 分）72.2%、高階（625 分）44.4%。達高階基準的比率在全體經濟體中排名第二，僅次於新加坡的 46.3%。科學的對應比率分別為 95.9%、84.9%、62.3% 與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41</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八年級數學：達各國際基準的學生比率</w:t>
      </w:r>
    </w:p>
    <w:p>
      <w:pPr>
        <w:pStyle w:val="centered"/>
      </w:pPr>
      <w:r>
        <w:rPr/>
        <w:drawing>
          <wp:inline distT="0" distB="0" distL="0" distR="0">
            <wp:extent cx="5733288" cy="5512777"/>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47"/>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四個基準為巢狀關係，達高階者必然亦達其餘三標，故長條相互覆蓋而非堆疊。依達高階基準的比率排序。臺灣數學達高階基準者占 44.4%。</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42</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八年級科學：達各國際基準的學生比率</w:t>
      </w:r>
    </w:p>
    <w:p>
      <w:pPr>
        <w:pStyle w:val="centered"/>
      </w:pPr>
      <w:r>
        <w:rPr/>
        <w:drawing>
          <wp:inline distT="0" distB="0" distL="0" distR="0">
            <wp:extent cx="5733288" cy="5512777"/>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48"/>
                    <a:stretch>
                      <a:fillRect/>
                    </a:stretch>
                  </pic:blipFill>
                  <pic:spPr bwMode="auto">
                    <a:xfrm>
                      <a:off x="0" y="0"/>
                      <a:ext cx="5733288" cy="5512777"/>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四個基準為巢狀關係，達高階者必然亦達其餘三標，故長條相互覆蓋而非堆疊。依達高階基準的比率排序。臺灣科學達高階基準者占 29.7%。</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43</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PISA 2022 與 TIMSS 2023 數學表現的對照</w:t>
      </w:r>
    </w:p>
    <w:p>
      <w:pPr>
        <w:pStyle w:val="centered"/>
      </w:pPr>
      <w:r>
        <w:rPr/>
        <w:drawing>
          <wp:inline distT="0" distB="0" distL="0" distR="0">
            <wp:extent cx="5733288" cy="3969199"/>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49"/>
                    <a:stretch>
                      <a:fillRect/>
                    </a:stretch>
                  </pic:blipFill>
                  <pic:spPr bwMode="auto">
                    <a:xfrm>
                      <a:off x="0" y="0"/>
                      <a:ext cx="5733288" cy="3969199"/>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橫軸為 PISA 2022 數學（15 歲，應用素養），縱軸為 TIMSS 2023 八年級數學（課程本位），虛線為線性趨勢。共 36 個同時參加兩項評比的經濟體，兩者相關係數為 0.948。兩套量尺不同，不可直接相減，此圖呈現的是相對位置。臺灣在兩項評比中均居前列，與創造思考的第 16 名形成對比。</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三、TIMSS 2023 四年級與 PIRLS 2021</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為避免結論受單一年級或單一學科取向影響，本研究另納入 TIMSS 2023 四年級（63 個經濟體、395,961 名學生）與 PIRLS 2021 四年級閱讀（65 個經濟體、367,575 名學生）。三套 IEA 評比的抽樣與計分設計相同，均為 5 個合理推估值搭配 JK2 折刀法，故可共用同一估計核心。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臺灣四年級數學平均 607.0 分排名第 2、科學 572.6 分排名第 3，表現與八年級一致。惟四年級閱讀（PIRLS）平均 543.8 分（SE = 2.15）僅排名第 15，與數理科目的排名形成明顯落差。須特別說明，TIMSS 四年級與八年級為獨立抽取的樣本，並非同一批學生的追蹤，兩者分數之差不可解讀為成長。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44</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p>
      <w:pPr>
        <w:pStyle w:val="centered"/>
      </w:pPr>
      <w:r>
        <w:rPr/>
        <w:drawing>
          <wp:inline distT="0" distB="0" distL="0" distR="0">
            <wp:extent cx="5733288" cy="3372522"/>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50"/>
                    <a:stretch>
                      <a:fillRect/>
                    </a:stretch>
                  </pic:blipFill>
                  <pic:spPr bwMode="auto">
                    <a:xfrm>
                      <a:off x="0" y="0"/>
                      <a:ext cx="5733288" cy="3372522"/>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各評比參與國數不同，故以百分位表示相對位置，100% 代表第 1 名。臺灣在數學與科學各項均在 96 百分位以上，惟四年級閱讀落在 78.5、創造思考 76.2。此一落差並非量測誤差，而是穩定出現於不同評比、不同年齡與不同主辦單位的一致形態，具政策意涵。</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45</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四年級數學：各國平均與 95% 信賴區間</w:t>
      </w:r>
    </w:p>
    <w:p>
      <w:pPr>
        <w:pStyle w:val="centered"/>
      </w:pPr>
      <w:r>
        <w:rPr/>
        <w:drawing>
          <wp:inline distT="0" distB="0" distL="0" distR="0">
            <wp:extent cx="5733288" cy="6497726"/>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51"/>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臺灣四年級數學平均 607.0 分（SE = 1.74），排名第 2。虛線為四個國際基準點。四年級與八年級為獨立樣本，不可解讀為同一批學生的成長。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46</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四年級科學：各國平均與 95% 信賴區間</w:t>
      </w:r>
    </w:p>
    <w:p>
      <w:pPr>
        <w:pStyle w:val="centered"/>
      </w:pPr>
      <w:r>
        <w:rPr/>
        <w:drawing>
          <wp:inline distT="0" distB="0" distL="0" distR="0">
            <wp:extent cx="5733288" cy="6497726"/>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52"/>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臺灣四年級科學平均 572.6 分（SE = 1.74），排名第 3。虛線為四個國際基準點。四年級與八年級為獨立樣本，不可解讀為同一批學生的成長。</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47</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四年級閱讀：各國平均與 95% 信賴區間</w:t>
      </w:r>
    </w:p>
    <w:p>
      <w:pPr>
        <w:pStyle w:val="centered"/>
      </w:pPr>
      <w:r>
        <w:rPr/>
        <w:drawing>
          <wp:inline distT="0" distB="0" distL="0" distR="0">
            <wp:extent cx="5733288" cy="6497726"/>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53"/>
                    <a:stretch>
                      <a:fillRect/>
                    </a:stretch>
                  </pic:blipFill>
                  <pic:spPr bwMode="auto">
                    <a:xfrm>
                      <a:off x="0" y="0"/>
                      <a:ext cx="5733288" cy="6497726"/>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臺灣平均 543.8 分（SE = 2.15），在 65 個參與者中排名第 15。部分參與者為次國家層級的標竿實體，如莫斯科市、加拿大各省與比利時語區。本研究採數位施測（digitalPIRLS）的主樣本；紙筆檔為橋接研究，用於連結歷年趨勢，未納入本次估計。</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圖 48</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PIRLS 2021 閱讀分測驗的相對強弱</w:t>
      </w:r>
    </w:p>
    <w:p>
      <w:pPr>
        <w:pStyle w:val="centered"/>
      </w:pPr>
      <w:r>
        <w:rPr/>
        <w:drawing>
          <wp:inline distT="0" distB="0" distL="0" distR="0">
            <wp:extent cx="5733288" cy="4224528"/>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54"/>
                    <a:stretch>
                      <a:fillRect/>
                    </a:stretch>
                  </pic:blipFill>
                  <pic:spPr bwMode="auto">
                    <a:xfrm>
                      <a:off x="0" y="0"/>
                      <a:ext cx="5733288" cy="4224528"/>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各分測驗分數減去該國整體閱讀分數，正值代表相對強項。臺灣四年級學生在「獲取資訊」相對強（+5.6 分），在「文學經驗」相對弱（-10.8 分）。此一形態與 PISA 創造思考的相對落後，可能指向同一個課程面向。</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9</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臺灣在九項國際評比中的相對位置</w:t>
      </w:r>
    </w:p>
    <w:tbl xmlns:a="http://schemas.openxmlformats.org/drawingml/2006/main" xmlns:pic="http://schemas.openxmlformats.org/drawingml/2006/picture">
      <w:tblPr>
        <w:tblLayout w:type="fixed"/>
        <w:jc w:val="start"/>
        <w:tblLook w:firstRow="1" w:lastRow="0" w:firstColumn="0" w:lastColumn="0" w:noHBand="0" w:noVBand="1"/>
      </w:tblPr>
      <w:tblGrid>
        <w:gridCol w:w="1828"/>
        <w:gridCol w:w="722"/>
        <w:gridCol w:w="1033"/>
        <w:gridCol w:w="1094"/>
        <w:gridCol w:w="1033"/>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評比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參與者數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百分位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類別</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四年級數學</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八年級科學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數學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TIMSS 四年級科學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科學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PIRLS 四年級閱讀</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閱讀</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PISA 創造思考</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創造思考</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百分位以 100 乘以（1 減去（名次減 1）除以參與者數）計算，100% 代表第 1 名。各評比的量尺、施測年齡與主辦單位不同，分數不可直接比較，此表僅比較相對位置。</w:t>
      </w:r>
    </w:p>
    <w:p>
      <w:pPr>
        <w:pStyle w:val="Normal"/>
        <w:jc w:val="left"/>
        <w:pBdr>
          <w:bottom w:val="none" w:sz="0" w:space="0" w:color="000000"/>
          <w:top w:val="none" w:sz="0" w:space="0" w:color="000000"/>
          <w:left w:val="none" w:sz="0" w:space="0" w:color="000000"/>
          <w:right w:val="none" w:sz="0" w:space="0" w:color="000000"/>
        </w:pBdr>
        <w:spacing w:after="0" w:before="240" w:line="360"/>
        <w:ind w:left="0" w:right="0" w:firstLine="0" w:firstLineChars="0"/>
      </w:pPr>
      <w:r>
        <w:rPr>
          <w:rFonts w:ascii="Times New Roman" w:hAnsi="Times New Roman" w:eastAsia="BiauKaiTC" w:cs="BiauKaiTC"/>
          <w:i w:val="false"/>
          <w:b w:val="true"/>
          <w:u w:val="none"/>
          <w:strike w:val="false"/>
          <w:sz w:val="24"/>
          <w:szCs w:val="24"/>
          <w:color w:val="000000"/>
        </w:rPr>
        <w:t xml:space="preserve">表 10</w:t>
      </w:r>
    </w:p>
    <w:p>
      <w:pPr>
        <w:pStyle w:val="Normal"/>
        <w:jc w:val="left"/>
        <w:pBdr>
          <w:bottom w:val="none" w:sz="0" w:space="0" w:color="000000"/>
          <w:top w:val="none" w:sz="0" w:space="0" w:color="000000"/>
          <w:left w:val="none" w:sz="0" w:space="0" w:color="000000"/>
          <w:right w:val="none" w:sz="0" w:space="0" w:color="000000"/>
        </w:pBdr>
        <w:spacing w:after="80" w:before="0" w:line="360"/>
        <w:ind w:left="0" w:right="0" w:firstLine="0" w:firstLineChars="0"/>
      </w:pPr>
      <w:r>
        <w:rPr>
          <w:rFonts w:ascii="Times New Roman" w:hAnsi="Times New Roman" w:eastAsia="BiauKaiTC" w:cs="BiauKaiTC"/>
          <w:i w:val="true"/>
          <w:b w:val="false"/>
          <w:u w:val="none"/>
          <w:strike w:val="false"/>
          <w:sz w:val="24"/>
          <w:szCs w:val="24"/>
          <w:color w:val="000000"/>
        </w:rPr>
        <w:t xml:space="preserve">TIMSS 2023 八年級各國估計值</w:t>
      </w:r>
    </w:p>
    <w:tbl xmlns:a="http://schemas.openxmlformats.org/drawingml/2006/main" xmlns:pic="http://schemas.openxmlformats.org/drawingml/2006/picture">
      <w:tblPr>
        <w:tblLayout w:type="fixed"/>
        <w:jc w:val="start"/>
        <w:tblLook w:firstRow="1" w:lastRow="0" w:firstColumn="0" w:lastColumn="0" w:noHBand="0" w:noVBand="1"/>
      </w:tblPr>
      <w:tblGrid>
        <w:gridCol w:w="722"/>
        <w:gridCol w:w="1344"/>
        <w:gridCol w:w="861"/>
        <w:gridCol w:w="761"/>
        <w:gridCol w:w="938"/>
        <w:gridCol w:w="861"/>
        <w:gridCol w:w="1033"/>
        <w:gridCol w:w="961"/>
      </w:tblGrid>
      <w:tr>
        <w:trPr>
          <w:trHeight w:val="482" w:hRule="auto"/>
          <w:tblHeader/>
        </w:trPr>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國家／經濟體</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數學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SE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高階 %</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科學名次</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樣本數</w:t>
            </w:r>
          </w:p>
        </w:tc>
      </w:tr>
      <w:tr>
        <w:trPr>
          <w:trHeight w:val="4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新加坡</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606.1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4,772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臺灣</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5,543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韓國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4,257</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日本</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3,905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香港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4,463</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阿布達比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8,164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英格蘭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愛爾蘭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5,090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捷克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8,110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瑞典</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5,082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立陶宛</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奧地利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4,639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澳洲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8,442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土耳其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4,925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匈牙利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芬蘭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挪威</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6,324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義大利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4,591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馬爾他</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3,994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羅馬尼亞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3,722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6,385</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賽普勒斯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4,200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美國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8,074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以色列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紐西蘭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3,930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法國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4,511</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亞塞拜然</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6,174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葡萄牙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5,414</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喬治亞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4,872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哈薩克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6,362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杜拜</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12,109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卡達</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4,298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5,168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伊朗</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烏茲別克</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4,339</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智利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4,478</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阿曼</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8,226</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馬來西亞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8,780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科威特</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4,332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沙烏地阿拉伯</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5,882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南非</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11,940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約旦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6,962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巴勒斯坦</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6,532</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巴西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22,770</w:t>
            </w:r>
          </w:p>
        </w:tc>
      </w:tr>
      <w:tr>
        <w:trPr>
          <w:trHeight w:val="4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摩洛哥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327.0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8,745</w:t>
            </w:r>
          </w:p>
        </w:tc>
      </w:tr>
      <w:tr>
        <w:trPr>
          <w:trHeight w:val="47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象牙海岸</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263.1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183.0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BiauKaiTC" w:cs="BiauKaiTC"/>
                <w:i w:val="false"/>
                <w:b w:val="false"/>
                <w:u w:val="none"/>
                <w:strike w:val="false"/>
                <w:sz w:val="20"/>
                <w:szCs w:val="20"/>
                <w:color w:val="000000"/>
              </w:rPr>
            </w:pPr>
            <w:r>
              <w:rPr>
                <w:rFonts w:ascii="Times New Roman" w:hAnsi="Times New Roman" w:eastAsia="BiauKaiTC" w:cs="BiauKaiTC"/>
                <w:i w:val="false"/>
                <w:b w:val="false"/>
                <w:u w:val="none"/>
                <w:strike w:val="false"/>
                <w:sz w:val="20"/>
                <w:szCs w:val="20"/>
                <w:color w:val="000000"/>
              </w:rPr>
              <w:t xml:space="preserve"> 8,284</w:t>
            </w:r>
          </w:p>
        </w:tc>
      </w:tr>
    </w:tbl>
    <w:p>
      <w:pPr>
        <w:pStyle w:val="Normal"/>
        <w:jc w:val="both"/>
        <w:pBdr>
          <w:bottom w:val="none" w:sz="0" w:space="0" w:color="000000"/>
          <w:top w:val="none" w:sz="0" w:space="0" w:color="000000"/>
          <w:left w:val="none" w:sz="0" w:space="0" w:color="000000"/>
          <w:right w:val="none" w:sz="0" w:space="0" w:color="000000"/>
        </w:pBdr>
        <w:spacing w:after="240" w:before="60" w:line="360"/>
        <w:ind w:left="0" w:right="0" w:firstLine="0" w:firstLineChars="0"/>
      </w:pPr>
      <w:r>
        <w:rPr>
          <w:rFonts w:ascii="Times New Roman" w:hAnsi="Times New Roman" w:eastAsia="BiauKaiTC" w:cs="BiauKaiTC"/>
          <w:i w:val="true"/>
          <w:b w:val="false"/>
          <w:u w:val="none"/>
          <w:strike w:val="false"/>
          <w:sz w:val="22"/>
          <w:szCs w:val="22"/>
          <w:color w:val="000000"/>
        </w:rPr>
        <w:t xml:space="preserve">註. </w:t>
      </w:r>
      <w:r>
        <w:rPr>
          <w:rFonts w:ascii="Times New Roman" w:hAnsi="Times New Roman" w:eastAsia="BiauKaiTC" w:cs="BiauKaiTC"/>
          <w:i w:val="false"/>
          <w:b w:val="false"/>
          <w:u w:val="none"/>
          <w:strike w:val="false"/>
          <w:sz w:val="22"/>
          <w:szCs w:val="22"/>
          <w:color w:val="000000"/>
        </w:rPr>
        <w:t xml:space="preserve">依數學平均分數排序。高階欄為達 625 分國際基準的加權學生比率。標準誤以 5 個合理推估值搭配 JK2 折刀法估計，折刀區數依各國抽樣設計而異，介於 50 至 125 之間。</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玖、結論與研究限制</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一、主要發現</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第一，臺灣學生在兩套國際評比中均居前列，惟兩者測量的構念不同。PISA 2022 數學排名第 3、科學第 4、閱讀第 5；TIMSS 2023 八年級數學與科學均排名第 2。前者測應用素養，後者測課程本位的學習成果，兩項評比在 36 個共同參與的經濟體間相關達 0.948，臺灣在兩者皆表現優異，顯示課程實施與素養轉化均有成效。</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第二，創造思考是明顯的例外。臺灣創造思考在 63 個經濟體中排名第 16，與數學的第 3 名落差 13 個名次。名次落差最大的三個體制為澳門、香港與臺灣，而韓國僅差 4 名、新加坡兩項皆為第 1，可見此非東亞的共同現象。此結果指向特定課程與評量取向的影響，值得政策層面關注。</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第三，成績提升伴隨分配擴大而非整體平移。臺灣數學未達基礎水準者的比率自 2018 年的 13.98% 上升至 2022 年的 14.61%，同期達高表現水準者自 23.19% 上升至 31.73%，兩端同時擴張。</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第四，教育機會的分化同時出現在個人與學校兩個層次。個人層次上，社經梯度自 2018 年的 38.1 分升至 2022 年的 49.3 分（每一個 ESCS 標準差），高於全體中位數 33.3 分。學校層次上，校間變異比例自 33.8% 升至 40.5%，且校間差異中有 71.2% 對應到學生組成的社經落差，較 2015 年的 61.3% 為高。</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第五，Mundlak 分解顯示分化的主要載體是學校而非家庭。臺灣的校內個人社經效應為每一個標準差 20.8 分，學校社經組成效應則達 131.6 分，脈絡效應 110.8 分（SE = 6.30）。就讀哪一所學校對成績的影響約為個人家庭背景在校內影響的六倍，學校組成效應在全體國家中排名第三。此結果指出，若政策目標為縮小成就落差，介入點應在學校之間的資源與生源分布，而非僅止於個別學生的補救。</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第六，跨四套評比的相對位置呈現一致形態。臺灣在 TIMSS 四年級數學、TIMSS 八年級數學與科學、PISA 數學與科學各項均在 96 百分位以上，惟 PIRLS 四年級閱讀落在 78.5 百分位、PISA 創造思考 76.2 百分位。此一落差跨越不同年齡、不同主辦單位與不同測驗取向而穩定存在，難以歸因於單一評比的特性，指向課程與評量重心的結構性議題。</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二、方法學上的提醒</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第一，跨輪次比較必須納入連結誤差。本研究實證顯示，在全部 396 組跨輪次比較中，有 16 組於忽略連結誤差時會得到錯誤的顯著性結論，標準誤最多被低估至 2.44 倍。</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第二，加權與否對結果的影響遠大於一般預期。以 PISA 2022 數學為例，80 個國家與經濟體的加權與未加權平均差異中位數為 2.07 分，最大達 20.60 分。臺灣為正向差異最大者：未加權 534.02 分，加權後 547.13 分，相差 13.11 分。</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第三，不同資料庫不可共用同一套分析程式。TIMSS 與 PIRLS 使用 5 個合理推估值與 JK2 折刀法，PISA 使用 10 個推估值與 Fay 平衡重複半樣本法。將 PISA 的程式直接套用於 IEA 系列評比不會產生錯誤訊息，但標準誤是錯的。本研究為此另行撰寫估計核心，並以獨立實作逐位數驗證；TIMSS 與 PIRLS 因設計相同，可共用同一核心。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第四，設計基礎分解與模型基礎的變異成分是不同的估計標的，不宜互相取代或視為驗證失敗。本研究對同一份資料所得的 0.405 與 0.422、0.455，差異來自估計標的與權重縮放方式，三者的總變異數本身即不相同。研究報告宜明確交代所採用的定義。</w:t>
      </w:r>
    </w:p>
    <w:p>
      <w:pPr>
        <w:pStyle w:val="Normal"/>
        <w:jc w:val="left"/>
        <w:pBdr>
          <w:bottom w:val="none" w:sz="0" w:space="0" w:color="000000"/>
          <w:top w:val="none" w:sz="0" w:space="0" w:color="000000"/>
          <w:left w:val="none" w:sz="0" w:space="0" w:color="000000"/>
          <w:right w:val="none" w:sz="0" w:space="0" w:color="000000"/>
        </w:pBdr>
        <w:spacing w:after="0" w:before="120" w:line="480"/>
        <w:ind w:left="0" w:right="0" w:firstLine="0" w:firstLineChars="0"/>
      </w:pPr>
      <w:r>
        <w:rPr>
          <w:rFonts w:ascii="Times New Roman" w:hAnsi="Times New Roman" w:eastAsia="BiauKaiTC" w:cs="BiauKaiTC"/>
          <w:i w:val="false"/>
          <w:b w:val="true"/>
          <w:u w:val="none"/>
          <w:strike w:val="false"/>
          <w:sz w:val="24"/>
          <w:szCs w:val="24"/>
          <w:color w:val="000000"/>
        </w:rPr>
        <w:t xml:space="preserve">三、研究限制</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第一，PISA 與 TIMSS 均屬重複橫斷設計而非追蹤設計。每一輪抽取的是不同學生，並無任何學生被重複測量。因此本研究的所有趨勢結果均為群體層次的比較，不得詮釋為個別學生的成長軌跡，亦不適用潛在成長模型、交叉延宕模型或個體層次的固定效果模型。若研究問題必須探討個人成長，須改用具追蹤設計的資料，如臺灣教育長期追蹤資料庫（TEPS、TEPS-B）。</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第二，跨輪次可比性有其上限。各領域最早僅能回溯至其首次成為主測領域的輪次：閱讀為 2000 年、數學為 2003 年、科學為 2006 年。此外，PISA 自 2015 年起主要改採電腦施測，跨越該年的比較其不確定性本質上高於其後各輪之間的比較。</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第三，ESCS 指標於 2022 年重新校準，各輪原始 ESCS 不可直接比較。本研究涉及社經地位的跨輪分析已改用 OECD 發布之 trend ESCS，惟該檔僅涵蓋 2012、2015 與 2018 三輪，故社經地位的可比區間較成績趨勢為窄。</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第四，PISA 2022 的施測期間橫跨 COVID-19 疫情，部分國家延後施測或調整樣本。詮釋 2018 年至 2022 年的變化時，教育政策效果與疫情衝擊難以分離。</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第五，PISA 2012 年以前的輪次未納入。OECD 於 2024 年改版官方網站，舊有檔案網址失效，新頁面啟用人機驗證機制，無法以程式自動取得。此部分需以人工方式下載，且提供的是 ASCII 定寬檔配合統計軟體讀取語法，而非現成的資料檔。</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firstLine="7"/>
      </w:pPr>
      <w:r>
        <w:rPr>
          <w:rFonts w:ascii="Times New Roman" w:hAnsi="Times New Roman" w:eastAsia="BiauKaiTC" w:cs="BiauKaiTC"/>
          <w:i w:val="false"/>
          <w:b w:val="false"/>
          <w:u w:val="none"/>
          <w:strike w:val="false"/>
          <w:sz w:val="24"/>
          <w:szCs w:val="24"/>
          <w:color w:val="000000"/>
        </w:rPr>
        <w:t xml:space="preserve">第六，臺灣本土大型資料庫尚未納入。TASA 與 TEPS 均需經申請程序方能取得，本研究已完成接入流程的建置，惟資料到位前無法進行實際分析。TEPS 為其中唯一的追蹤設計，若能納入，將可補足本研究在個人成長軌跡上的空缺。</w:t>
      </w:r>
    </w:p>
    <w:p>
      <w:pPr/>
      <w:r>
        <w:br w:type="page"/>
      </w:r>
    </w:p>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pPr>
      <w:r>
        <w:rPr>
          <w:rFonts w:ascii="Times New Roman" w:hAnsi="Times New Roman" w:eastAsia="BiauKaiTC" w:cs="BiauKaiTC"/>
          <w:i w:val="false"/>
          <w:b w:val="true"/>
          <w:u w:val="none"/>
          <w:strike w:val="false"/>
          <w:sz w:val="28"/>
          <w:szCs w:val="28"/>
          <w:color w:val="000000"/>
        </w:rPr>
        <w:t xml:space="preserve">參考文獻</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(2023). PISA 2022 results (Volume I): The state of learning and equity in education. OECD Publishing. https://doi.org/10.1787/53f23881-en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(2024). PISA 2022 technical report. OECD Publishing. https://doi.org/10.1787/01820d6d-en</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OECD (2009). PISA data analysis manual: SPSS (2nd ed.). OECD Publishing.</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TIMSS 2023 international results in mathematics and science.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von Davier, M., Kennedy, A., Reynolds, K., Fishbein, B., Khorramdel, L., Aldrich, C., Bookbinder, A., Bezirhan, U., &amp; Yin, L. (2024). TIMSS 2023 technical report.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Mundlak, Y. (1978). On the pooling of time series and cross section data. Econometrica, 46(1), 69-85.</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Mullis, I. V. S., von Davier, M., Foy, P., Fishbein, B., Reynolds, K. A., &amp; Wry, E. (2023). PIRLS 2021 international results in reading. TIMSS &amp; PIRLS International Study Center, Boston College.</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Rubin, D. B. (1987). Multiple imputation for nonresponse in surveys. John Wiley &amp; Sons.</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Judkins, D. R. (1990). Fay's method for variance estimation. Journal of Official Statistics, 6(3), 223–239.</w:t>
      </w:r>
    </w:p>
    <w:p>
      <w:pPr>
        <w:pStyle w:val="Normal"/>
        <w:jc w:val="both"/>
        <w:pBdr>
          <w:bottom w:val="none" w:sz="0" w:space="0" w:color="000000"/>
          <w:top w:val="none" w:sz="0" w:space="0" w:color="000000"/>
          <w:left w:val="none" w:sz="0" w:space="0" w:color="000000"/>
          <w:right w:val="none" w:sz="0" w:space="0" w:color="000000"/>
        </w:pBdr>
        <w:spacing w:after="0" w:before="0" w:line="480"/>
        <w:ind w:left="0" w:right="0" w:hanging="10"/>
      </w:pPr>
      <w:r>
        <w:rPr>
          <w:rFonts w:ascii="Times New Roman" w:hAnsi="Times New Roman" w:eastAsia="BiauKaiTC" w:cs="BiauKaiTC"/>
          <w:i w:val="false"/>
          <w:b w:val="false"/>
          <w:u w:val="none"/>
          <w:strike w:val="false"/>
          <w:sz w:val="24"/>
          <w:szCs w:val="24"/>
          <w:color w:val="000000"/>
        </w:rPr>
        <w:t xml:space="preserve">Wolter, K. M. (2007). Introduction to variance estimation (2nd ed.). Springer.</w:t>
      </w:r>
    </w:p>
    <w:sectPr>
      <w:pgMar w:header="720" w:bottom="1440" w:top="1440" w:right="1440" w:left="1440" w:footer="720"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1dde4bdd40347d82d99ae1f141d526b49d9c0d7d.png"/>
<Relationship Id="rId8" Type="http://schemas.openxmlformats.org/officeDocument/2006/relationships/image" Target="media/ba7005b08c78aa41fadb09ba9437a5025a2f1920.png"/>
<Relationship Id="rId9" Type="http://schemas.openxmlformats.org/officeDocument/2006/relationships/image" Target="media/92a170d846c91b7d7d2174d05831032cb8bcf271.png"/>
<Relationship Id="rId10" Type="http://schemas.openxmlformats.org/officeDocument/2006/relationships/image" Target="media/f260962db2e2eff94a541aef647cb3ab356ee8aa.png"/>
<Relationship Id="rId11" Type="http://schemas.openxmlformats.org/officeDocument/2006/relationships/image" Target="media/b5f5e1863fbb569c98e69ff38e5563ad8c3d0518.png"/>
<Relationship Id="rId12" Type="http://schemas.openxmlformats.org/officeDocument/2006/relationships/image" Target="media/e6634984d79ffbb997df4f50d8973b9f3f4d44c4.png"/>
<Relationship Id="rId13" Type="http://schemas.openxmlformats.org/officeDocument/2006/relationships/image" Target="media/e70488c7ad2fd27185130e55e75be9cb933214b7.png"/>
<Relationship Id="rId14" Type="http://schemas.openxmlformats.org/officeDocument/2006/relationships/image" Target="media/6a11165bc845e20582910eeb5b0e387eaf032d27.png"/>
<Relationship Id="rId15" Type="http://schemas.openxmlformats.org/officeDocument/2006/relationships/image" Target="media/5be5acaf1cf887ad71b90e0d087fe6a6103a5218.png"/>
<Relationship Id="rId16" Type="http://schemas.openxmlformats.org/officeDocument/2006/relationships/image" Target="media/f8c0a78384dbd4af1c64d670aa735bd54ceed144.png"/>
<Relationship Id="rId17" Type="http://schemas.openxmlformats.org/officeDocument/2006/relationships/image" Target="media/91c682b3566179d89a81a8d31b384619c724b147.png"/>
<Relationship Id="rId18" Type="http://schemas.openxmlformats.org/officeDocument/2006/relationships/image" Target="media/6207eb95f5459d869184a60253982e40ba17ce4a.png"/>
<Relationship Id="rId19" Type="http://schemas.openxmlformats.org/officeDocument/2006/relationships/image" Target="media/bdb3d22544508b2602a116a321761701d131f7c9.png"/>
<Relationship Id="rId20" Type="http://schemas.openxmlformats.org/officeDocument/2006/relationships/image" Target="media/9025e99a3432b2c247c6bb2bdac21352b7f365bb.png"/>
<Relationship Id="rId21" Type="http://schemas.openxmlformats.org/officeDocument/2006/relationships/image" Target="media/4a150234e825e07baf45b438686cfea862114c3d.png"/>
<Relationship Id="rId22" Type="http://schemas.openxmlformats.org/officeDocument/2006/relationships/image" Target="media/a5b1901327a16c2a19341d31f38847285e4dfc88.png"/>
<Relationship Id="rId23" Type="http://schemas.openxmlformats.org/officeDocument/2006/relationships/image" Target="media/0e0cc3f56c6b7603be6566a30890e0b4e3fbdeff.png"/>
<Relationship Id="rId24" Type="http://schemas.openxmlformats.org/officeDocument/2006/relationships/image" Target="media/ee6e90392443cfe0b897e86255e17191d6dee074.png"/>
<Relationship Id="rId25" Type="http://schemas.openxmlformats.org/officeDocument/2006/relationships/image" Target="media/dad986fd286bc1309f69ff2cde7fac92d77a6114.png"/>
<Relationship Id="rId26" Type="http://schemas.openxmlformats.org/officeDocument/2006/relationships/image" Target="media/edb7162374cd2a0fedd420e5ed7817f0af947f0d.png"/>
<Relationship Id="rId27" Type="http://schemas.openxmlformats.org/officeDocument/2006/relationships/image" Target="media/c8b5fea47566fe780a4b96ac76713bcbf7616a8f.png"/>
<Relationship Id="rId28" Type="http://schemas.openxmlformats.org/officeDocument/2006/relationships/image" Target="media/50b1c59dea6704383c5fd68e64e0d68e97aaa649.png"/>
<Relationship Id="rId29" Type="http://schemas.openxmlformats.org/officeDocument/2006/relationships/image" Target="media/7ccab230e7442d05ec7316b5677e31f873501670.png"/>
<Relationship Id="rId30" Type="http://schemas.openxmlformats.org/officeDocument/2006/relationships/image" Target="media/690a3d908d349d6c7c87ccaf3b5b5eeeb1b955da.png"/>
<Relationship Id="rId31" Type="http://schemas.openxmlformats.org/officeDocument/2006/relationships/image" Target="media/d80d6815e472fa68f68931519f0c52821f0cb2c5.png"/>
<Relationship Id="rId32" Type="http://schemas.openxmlformats.org/officeDocument/2006/relationships/image" Target="media/86a3be0bec2d5abf4f2f029e81a586958447e5d5.png"/>
<Relationship Id="rId33" Type="http://schemas.openxmlformats.org/officeDocument/2006/relationships/image" Target="media/09c71d3960e938d33e53c2271513ceb9d0ed3f53.png"/>
<Relationship Id="rId34" Type="http://schemas.openxmlformats.org/officeDocument/2006/relationships/image" Target="media/ba4831e14c6d33c9db81079ee0b27a6270a5f834.png"/>
<Relationship Id="rId35" Type="http://schemas.openxmlformats.org/officeDocument/2006/relationships/image" Target="media/962e2c987a9e7ece80c07324a8b85574f46d1186.png"/>
<Relationship Id="rId36" Type="http://schemas.openxmlformats.org/officeDocument/2006/relationships/image" Target="media/34253c3586b6baa3ff040f5f0e7743122f34854a.png"/>
<Relationship Id="rId37" Type="http://schemas.openxmlformats.org/officeDocument/2006/relationships/image" Target="media/2b986257d5885b2d1b39bd487324f5b21d56f272.png"/>
<Relationship Id="rId38" Type="http://schemas.openxmlformats.org/officeDocument/2006/relationships/image" Target="media/10da8303d384993889209d842d55ae36d1d6498a.png"/>
<Relationship Id="rId39" Type="http://schemas.openxmlformats.org/officeDocument/2006/relationships/image" Target="media/50131adde7d41b0b52c37aeaaa34991b44646255.png"/>
<Relationship Id="rId40" Type="http://schemas.openxmlformats.org/officeDocument/2006/relationships/image" Target="media/a502113f8793999305128f99b8ff3926721addca.png"/>
<Relationship Id="rId41" Type="http://schemas.openxmlformats.org/officeDocument/2006/relationships/image" Target="media/55abe45790a5c06f1c5563d3f18bcce686495545.png"/>
<Relationship Id="rId42" Type="http://schemas.openxmlformats.org/officeDocument/2006/relationships/image" Target="media/0d1679c60d27e1735ded5052f3b3db56441f4500.png"/>
<Relationship Id="rId43" Type="http://schemas.openxmlformats.org/officeDocument/2006/relationships/image" Target="media/afcc255374852493cc2caf381d38e3b710c0b9ac.png"/>
<Relationship Id="rId44" Type="http://schemas.openxmlformats.org/officeDocument/2006/relationships/image" Target="media/94a0e08fda3f0378daadde004b0a35f1dd241c08.png"/>
<Relationship Id="rId45" Type="http://schemas.openxmlformats.org/officeDocument/2006/relationships/image" Target="media/d45d1e8273c0be97928f9fc075c16f37d03a9d0c.png"/>
<Relationship Id="rId46" Type="http://schemas.openxmlformats.org/officeDocument/2006/relationships/image" Target="media/5ab6a0968cc44ba159abfd7ecd975064870c3d29.png"/>
<Relationship Id="rId47" Type="http://schemas.openxmlformats.org/officeDocument/2006/relationships/image" Target="media/518fcaf73b9854d4c1fae817c5d768af02a7905b.png"/>
<Relationship Id="rId48" Type="http://schemas.openxmlformats.org/officeDocument/2006/relationships/image" Target="media/3f97de5b9f1a74d18d60b65529f10f013577e5d9.png"/>
<Relationship Id="rId49" Type="http://schemas.openxmlformats.org/officeDocument/2006/relationships/image" Target="media/320bb8fb35088c94e2d9e884f690dda23f66c10e.png"/>
<Relationship Id="rId50" Type="http://schemas.openxmlformats.org/officeDocument/2006/relationships/image" Target="media/d5001ab372b081aff107c495958317f01fe24d2d.png"/>
<Relationship Id="rId51" Type="http://schemas.openxmlformats.org/officeDocument/2006/relationships/image" Target="media/2d85c516251ae44c51897b993d268acede8645ec.png"/>
<Relationship Id="rId52" Type="http://schemas.openxmlformats.org/officeDocument/2006/relationships/image" Target="media/9df00f0a44bd102fb575767fc92b2208a453ad29.png"/>
<Relationship Id="rId53" Type="http://schemas.openxmlformats.org/officeDocument/2006/relationships/image" Target="media/ca98e8112be87db94a1eaa6cd5a2cf75894b660f.png"/>
<Relationship Id="rId54" Type="http://schemas.openxmlformats.org/officeDocument/2006/relationships/image" Target="media/cd1cabda2aba87bc1656fab1d39ea9b1ca95cb2a.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yi-an</cp:lastModifiedBy>
  <cp:revision>9</cp:revision>
  <dcterms:created xsi:type="dcterms:W3CDTF">2017-02-28T11:18:00Z</dcterms:created>
  <dcterms:modified xsi:type="dcterms:W3CDTF">2026-08-28T16:13:11Z</dcterms:modified>
  <cp:category/>
</cp:coreProperties>
</file>