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32"/>
          <w:szCs w:val="32"/>
          <w:color w:val="000000"/>
        </w:rPr>
        <w:t xml:space="preserve">PISA 2015–2022 國際學生能力評量結果分析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6"/>
          <w:szCs w:val="26"/>
          <w:color w:val="000000"/>
        </w:rPr>
        <w:t xml:space="preserve">加權估計、精熟等級分布與跨輪次趨勢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12"/>
          <w:szCs w:val="12"/>
          <w:color w:val="000000"/>
        </w:rPr>
        <w:t xml:space="preserv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分析樣本：1,745,082 名學生，98 個國家與經濟體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資料來源：OECD PISA 公開使用檔（2015、2018、2022）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報告產生日期：2026 年 08 月 27 日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壹、研究方法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一、資料來源與樣本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本研究使用經濟合作暨發展組織（OECD）國際學生能力評量計畫（Programme for International Student Assessment, PISA）2015、2018 與 2022 三個輪次的公開使用檔（Public Use Files）。三輪合計 1,745,082 名 15 歲學生，涵蓋 98 個國家與經濟體。各輪參與數分別為 2015 年 73 個、2018 年 80 個、2022 年 80 個。臺灣三輪的學生樣本數分別為 7,708 人、7,243 人與 5,857 人。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須特別說明者，OECD 並未將越南 2018 年的合理推估值置於主學生檔，而是另以獨立檔案發布；本研究已將該檔併入，故越南 2018 年的估計值完整可用。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二、抽樣設計與權重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PISA 採兩階段叢集抽樣：第一階段依學校規模機率抽取學校，第二階段於校內隨機抽取學生。由於各校與各生被抽中的機率不同，每筆資料均帶有最終學生權重（W_FSTUWT）。本研究所有估計值一律加權；未加權的統計量描述的是樣本而非母體，不具推論意義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變異數估計採用 Fay 平衡重複半樣本法（balanced repeated replication, BRR），使用官方提供的 80 組重複權重（W_FSTURWT1 至 W_FSTURWT80），Fay 係數設為 0.5。此方法可正確反映叢集抽樣造成的設計效應；若逕以簡單隨機抽樣公式計算標準誤，將嚴重低估不確定性。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三、合理推估值與變異數合併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PISA 的能力分數並非直接測得，而是以項目反應理論搭配潛在迴歸模型，自學生能力的後驗分配抽取 10 個合理推估值（plausible values）。本研究對每個推估值分別估計，再依 Rubin 規則合併，總變異數為抽樣變異與推估變異之和：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V = V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18"/>
          <w:szCs w:val="18"/>
          <w:color w:val="000000"/>
        </w:rPr>
        <w:t xml:space="preserve">抽樣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 + (1 + 1/M) × B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18"/>
          <w:szCs w:val="18"/>
          <w:color w:val="000000"/>
        </w:rPr>
        <w:t xml:space="preserve">M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，M = 10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其中抽樣變異以 80 組重複權重估計，推估變異為 10 個推估值之間的變異。僅使用單一個推估值，或先將 10 個推估值平均再視為觀測值，兩者皆會低估標準誤。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四、跨輪次比較與連結誤差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PISA 各輪分數雖位於同一連結量尺上，但量尺連結本身存在不確定性，稱為連結誤差（link error）。跨輪次差異檢定的標準誤應為三項之和開根號：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SE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18"/>
          <w:szCs w:val="18"/>
          <w:color w:val="000000"/>
        </w:rPr>
        <w:t xml:space="preserve">差異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 = √(SE₁² + SE₂² + 連結誤差²)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連結誤差與樣本大小無關，增加樣本並不能使其縮小。本研究所採用的數值取自 PISA 2022 技術報告 Annex Table 14.A.19（見表 3）。省略此項是趨勢分析最常見的錯誤，其後果詳見本報告第參節。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五、分析工具與驗證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全部估計於 R 4.5.2 環境完成，圖表以 ggplot2 繪製。估計核心經三種獨立實作交叉驗證：自建函式庫、intsvy 套件，以及 survey 套件為基礎的複雜抽樣估計程序。以臺灣 2022 年數學為例，三者均得平均數 547.09、標準誤 3.778（抽樣成分 3.728、推估成分 0.611）。臺灣 2015 年三領域的估計值亦與 OECD 公布結果一致。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表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各輪次樣本結構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861"/>
        <w:gridCol w:w="1061"/>
        <w:gridCol w:w="1500"/>
        <w:gridCol w:w="1188"/>
        <w:gridCol w:w="1188"/>
      </w:tblGrid>
      <w:tr>
        <w:trPr>
          <w:trHeight w:val="482" w:hRule="auto"/>
          <w:tblHeader/>
        </w:trPr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輪次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學生數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國家與經濟體數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臺灣學生數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臺灣學校數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519,334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7,708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214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612,004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</w:tr>
      <w:tr>
        <w:trPr>
          <w:trHeight w:val="47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613,744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5,857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182</w:t>
            </w:r>
          </w:p>
        </w:tc>
      </w:tr>
    </w:tbl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學生數為未加權的樣本人數。加權後各輪代表該國全體 15 歲在學學生母體。2015 年參與數較少，係因部分國家自 2018 年起始加入。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貳、描述統計結果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數學各國加權平均與未加權平均之差</w:t>
      </w:r>
    </w:p>
    <w:p>
      <w:pPr>
        <w:pStyle w:val="centered"/>
      </w:pPr>
      <w:r>
        <w:rPr/>
        <w:drawing>
          <wp:inline distT="0" distB="0" distL="0" distR="0">
            <wp:extent cx="5733288" cy="6879946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8799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差值為加權平均減未加權平均，臺灣以深色標示。80 個國家與經濟體的差異中位數為 2.07 分，最大達 20.60 分（泰國，加權後較低）。臺灣為正向差異最大者：未加權平均 534.02 分，加權後 547.13 分，相差 13.11 分。此結果顯示忽略抽樣權重並非小數點後的誤差問題，而會實質改變國際比較的相對位置。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臺灣學生分數的加權分配（2015、2018、2022）</w:t>
      </w:r>
    </w:p>
    <w:p>
      <w:pPr>
        <w:pStyle w:val="centered"/>
      </w:pPr>
      <w:r>
        <w:rPr/>
        <w:drawing>
          <wp:inline distT="0" distB="0" distL="0" distR="0">
            <wp:extent cx="5733288" cy="2675534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26755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本圖將 10 個合理推估值全數攤平並各給予十分之一權重，再以最終學生權重加權，此為描述能力分配的正確作法。三個領域在 2022 年的分配整體右移，惟分配寬度亦同步增加，顯示平均數上升的同時個別差異亦擴大。若先將 10 個推估值平均後再繪圖，會系統性低估分配的離散程度。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臺灣分數分布的加權五數概括</w:t>
      </w:r>
    </w:p>
    <w:p>
      <w:pPr>
        <w:pStyle w:val="centered"/>
      </w:pPr>
      <w:r>
        <w:rPr/>
        <w:drawing>
          <wp:inline distT="0" distB="0" distL="0" distR="0">
            <wp:extent cx="5733288" cy="2675534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26755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盒為加權四分位距，鬚為加權第 5 與第 95 百分位，均以最終學生權重計算加權分位數，非樣本分位數。2022 年三領域的中位數皆高於 2018 年，惟盒身與鬚長亦同時增加，與圖 2 的分配形態一致。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臺灣學生家庭社經地位（ESCS）的加權分布</w:t>
      </w:r>
    </w:p>
    <w:p>
      <w:pPr>
        <w:pStyle w:val="centered"/>
      </w:pPr>
      <w:r>
        <w:rPr/>
        <w:drawing>
          <wp:inline distT="0" distB="0" distL="0" distR="0">
            <wp:extent cx="5733288" cy="3057754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3057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ESCS 為 OECD 建構之經濟社會文化地位綜合指標，由父母職業地位、父母教育程度與家庭教育資產三者合成，並標準化為 2022 年 OECD 國家平均為 0、標準差為 1。虛線標示該基準。須注意各輪原始 ESCS 的量尺並不相同，跨輪比較須改用 OECD 另行發布的 trend ESCS。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5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標準誤的兩個變異來源（PISA 2022）</w:t>
      </w:r>
    </w:p>
    <w:p>
      <w:pPr>
        <w:pStyle w:val="centered"/>
      </w:pPr>
      <w:r>
        <w:rPr/>
        <w:drawing>
          <wp:inline distT="0" distB="0" distL="0" distR="0">
            <wp:extent cx="5733288" cy="2773101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277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抽樣變異源自複雜抽樣設計，以 80 組 Fay 重複權重估計；推估變異源自能力值係自後驗分配抽取而非直接測得。在九個焦點經濟體中，推估變異占總變異的比例介於 1.99%（臺灣科學）至 39.89%（新加坡閱讀）之間，中位數為 5.97%。僅使用單一個推估值會完全遺漏此一成分。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參、趨勢分析結果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東亞主要經濟體與對照國的各輪平均分數與 95% 信賴區間</w:t>
      </w:r>
    </w:p>
    <w:p>
      <w:pPr>
        <w:pStyle w:val="centered"/>
      </w:pPr>
      <w:r>
        <w:rPr/>
        <w:drawing>
          <wp:inline distT="0" distB="0" distL="0" distR="0">
            <wp:extent cx="5733288" cy="2773101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2773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陰影帶為 95% 信賴區間，臺灣以粗線標示。臺灣三輪數學平均分別為 542.3、531.1 與 547.1 分；閱讀為 497.1、502.6 與 515.2 分；科學為 532.4、515.8 與 537.4 分。2018 年為三輪中的低點，選擇不同基期將導致不同的趨勢結論。信賴區間重疊並不等同於差異未達顯著，正式檢定須另納入連結誤差。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表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臺灣三輪次平均分數與跨輪次檢定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722"/>
        <w:gridCol w:w="1394"/>
        <w:gridCol w:w="1394"/>
        <w:gridCol w:w="1394"/>
        <w:gridCol w:w="1772"/>
        <w:gridCol w:w="861"/>
      </w:tblGrid>
      <w:tr>
        <w:trPr>
          <w:trHeight w:val="482" w:hRule="auto"/>
          <w:tblHeader/>
        </w:trPr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領域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2018→2022 變化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值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542.3 (3.03)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531.1 (2.89)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547.1 (3.78)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+15.9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497.1 (2.50)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502.6 (2.84)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515.2 (3.25)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</w:tr>
      <w:tr>
        <w:trPr>
          <w:trHeight w:val="47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科學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532.4 (2.69)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515.8 (2.87)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537.4 (3.31)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+21.6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</w:tr>
    </w:tbl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括號內為標準誤。變化欄為 2022 年減 2018 年。p 值以納入連結誤差之標準誤計算，數學連結誤差為 2.24 分、閱讀 1.47 分、科學 1.61 分。三個領域自 2018 年至 2022 年的進步均達統計顯著。惟若以 2015 年為基期，數學與科學的變化則未達顯著，顯示基期選擇對結論具決定性影響。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表 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與各輪次比較之連結誤差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994"/>
        <w:gridCol w:w="761"/>
        <w:gridCol w:w="761"/>
        <w:gridCol w:w="761"/>
        <w:gridCol w:w="1033"/>
      </w:tblGrid>
      <w:tr>
        <w:trPr>
          <w:trHeight w:val="482" w:hRule="auto"/>
          <w:tblHeader/>
        </w:trPr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比較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科學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財金素養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2000 → 2022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6.67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2003 →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2006 →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2009 →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2012 →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4.05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2015 →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3.47</w:t>
            </w:r>
          </w:p>
        </w:tc>
      </w:tr>
      <w:tr>
        <w:trPr>
          <w:trHeight w:val="47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PISA 2018 → 2022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2.20</w:t>
            </w:r>
          </w:p>
        </w:tc>
      </w:tr>
    </w:tbl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資料來源：PISA 2022 技術報告 Annex Table 14.A.19。破折號表示該領域於該輪次尚非主測領域，OECD 明示不可比較：數學最早可回溯至 2003 年、閱讀至 2000 年、科學至 2006 年。連結誤差數值差異甚大，2018 年至 2022 年的閱讀僅 1.47 分，2006 年至 2022 年則達 8.56 分。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本研究對全部 396 組跨輪次比較（3 個領域 × 2 個基期 × 各國）同時計算兩種標準誤：忽略連結誤差者與正確納入者。結果顯示，其中 16 組在忽略連結誤差時判定為統計顯著，正確計算後則否；標準誤最多被低估至 2.44 倍。此比例雖非多數，但足以說明省略連結誤差會實質提高型一錯誤率。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7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數學：2015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2.74 分，共 61 個國家與經濟體參與比較。忽略連結誤差時有 45 組判為顯著，正確計算後為 44 組，其中 1 組結論改變，標準誤最多被低估至 2.03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8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數學：2018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2.24 分，共 71 個國家與經濟體參與比較。忽略連結誤差時有 53 組判為顯著，正確計算後為 47 組，其中 6 組結論改變，標準誤最多被低估至 1.81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9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閱讀：2015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3.63 分，共 61 個國家與經濟體參與比較。忽略連結誤差時有 41 組判為顯著，正確計算後為 34 組，其中 7 組結論改變，標準誤最多被低估至 2.44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10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閱讀：2018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1.47 分，共 71 個國家與經濟體參與比較。忽略連結誤差時有 43 組判為顯著，正確計算後為 43 組，其中 0 組結論改變，標準誤最多被低估至 1.47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科學：2015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1.38 分，共 61 個國家與經濟體參與比較。忽略連結誤差時有 39 組判為顯著，正確計算後為 37 組，其中 2 組結論改變，標準誤最多被低估至 1.34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科學：2018 年至 2022 年變化的兩種信賴區間對照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粗線為忽略連結誤差的 95% 信賴區間，細線為正確納入後的區間，兩者之差即為連結誤差帶來的額外不確定性；紅點標示結論因此改變的國家。本組比較的連結誤差為 1.61 分，共 71 個國家與經濟體參與比較。忽略連結誤差時有 37 組判為顯著，正確計算後為 37 組，其中 0 組結論改變，標準誤最多被低估至 1.38 倍。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表 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因納入連結誤差而改變統計結論的比較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1344"/>
        <w:gridCol w:w="722"/>
        <w:gridCol w:w="861"/>
        <w:gridCol w:w="773"/>
        <w:gridCol w:w="1005"/>
        <w:gridCol w:w="961"/>
        <w:gridCol w:w="1005"/>
        <w:gridCol w:w="961"/>
      </w:tblGrid>
      <w:tr>
        <w:trPr>
          <w:trHeight w:val="482" w:hRule="auto"/>
          <w:tblHeader/>
        </w:trPr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國家／經濟體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領域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基期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變化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 忽略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忽略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 正確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 正確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澳洲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3.64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0.0610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0.0526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新加坡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0.0612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喬治亞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0.0698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立陶宛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0.0841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瑞士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0.0851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馬爾他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數學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0.0875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紐西蘭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0.0820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北馬其頓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0.0883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新加坡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0.0904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瑞士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0.0905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愛沙尼亞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0.0955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墨西哥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0.1373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科索沃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閱讀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0.2276</w:t>
            </w:r>
          </w:p>
        </w:tc>
      </w:tr>
      <w:tr>
        <w:trPr>
          <w:trHeight w:val="4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科學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+8.2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0.0558</w:t>
            </w:r>
          </w:p>
        </w:tc>
      </w:tr>
      <w:tr>
        <w:trPr>
          <w:trHeight w:val="474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北馬其頓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科學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-3.8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0.0677</w:t>
            </w:r>
          </w:p>
        </w:tc>
      </w:tr>
    </w:tbl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下列各組於忽略連結誤差時判定為顯著（p &lt; .05），正確計算後則未達顯著。變化欄為 2022 年減基期年之分數差。此表為圖 7 至圖 12 中紅點所標示者之完整清單。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肆、各國比較結果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PISA 2022 共 80 個國家與經濟體參與三個核心領域。臺灣的表現在數學居第 3 位、科學第 4 位、閱讀第 5 位。須注意排名之間的差距未必具統計意義，相鄰名次的信賴區間多有重疊。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數學各國平均分數與 95% 信賴區間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橫線為 95% 信賴區間，圓點為加權平均分數，臺灣以深色標示。臺灣數學平均 547.1 分（SE = 3.78），在 80 個國家與經濟體中居第 3 位。兩國信賴區間重疊時，其差異未必達統計顯著。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閱讀各國平均分數與 95% 信賴區間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2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橫線為 95% 信賴區間，圓點為加權平均分數，臺灣以深色標示。臺灣閱讀平均 515.2 分（SE = 3.25），在 80 個國家與經濟體中居第 5 位。兩國信賴區間重疊時，其差異未必達統計顯著。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15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科學各國平均分數與 95% 信賴區間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2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橫線為 95% 信賴區間，圓點為加權平均分數，臺灣以深色標示。臺灣科學平均 537.4 分（SE = 3.31），在 80 個國家與經濟體中居第 4 位。兩國信賴區間重疊時，其差異未必達統計顯著。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表 5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數學各國估計值一覽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"/>
        <w:gridCol w:w="2022"/>
        <w:gridCol w:w="672"/>
        <w:gridCol w:w="582"/>
        <w:gridCol w:w="1106"/>
        <w:gridCol w:w="1106"/>
        <w:gridCol w:w="1022"/>
        <w:gridCol w:w="762"/>
      </w:tblGrid>
      <w:tr>
        <w:trPr>
          <w:trHeight w:val="314" w:hRule="auto"/>
          <w:tblHeader/>
        </w:trPr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名次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國家／經濟體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平均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未達 L2 (%)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L5 以上 (%)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ESCS 斜率</w:t>
            </w:r>
          </w:p>
        </w:tc>
        <w:tc>
          <w:tcPr>
            <w:tcBorders>
              <w:bottom w:val="single" w:sz="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樣本數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新加坡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574.7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50.9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6,606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澳門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4,384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臺灣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5,857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香港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5,907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5,760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韓國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6,454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愛沙尼亞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6,392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瑞士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6,829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加拿大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23,073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荷蘭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5,046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愛爾蘭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5,569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比利時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8,286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丹麥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6,200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英國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12,972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波蘭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6,011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奧地利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6,151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澳洲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13,437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捷克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8,460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斯洛維尼亞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6,721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芬蘭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10,239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拉脫維亞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5,373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瑞典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6,072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紐西蘭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4,682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立陶宛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7,257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德國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6,116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法國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6,770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西班牙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30,800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匈牙利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6,198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葡萄牙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6,793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義大利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10,552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越南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6,068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挪威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6,611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馬爾他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3,127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美國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4,552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斯洛伐克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5,824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克羅埃西亞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6,135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冰島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3,360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以色列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6,251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土耳其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7,250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汶萊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5,576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烏克蘭（27 區中的 18 區）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3,876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塞爾維亞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6,413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阿拉伯聯合大公國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24,600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希臘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6,403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羅馬尼亞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7,364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哈薩克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19,769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蒙古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6,999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保加利亞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6,107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摩爾多瓦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6,235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卡達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7,676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智利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6,488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烏拉圭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6,618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馬來西亞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7,069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蒙特內哥羅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5,793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巴庫（亞塞拜然）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7,720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墨西哥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6,288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泰國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8,495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秘魯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6,968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喬治亞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6,583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沙烏地阿拉伯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6,928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北馬其頓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6,610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哥斯大黎加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6,113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哥倫比亞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7,804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巴西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10,798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阿根廷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12,111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牙買加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3,873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阿爾巴尼亞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6,129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巴勒斯坦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7,905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印尼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13,439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摩洛哥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6,867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烏茲別克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7,293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約旦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7,799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巴拿馬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4,544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科索沃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6,027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菲律賓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7,193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瓜地馬拉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5,190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薩爾瓦多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6,705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多明尼加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6,868</w:t>
            </w:r>
          </w:p>
        </w:tc>
      </w:tr>
      <w:tr>
        <w:trPr>
          <w:trHeight w:val="2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巴拉圭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5,084</w:t>
            </w:r>
          </w:p>
        </w:tc>
      </w:tr>
      <w:tr>
        <w:trPr>
          <w:trHeight w:val="30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柬埔寨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336.4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BiauKaiTC" w:cs="BiauKaiTC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5,279</w:t>
            </w:r>
          </w:p>
        </w:tc>
      </w:tr>
    </w:tbl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依平均分數排序。未達 L2 為未達基礎精熟水準（Level 2）的加權學生比率，L5 以上為達高表現水準的比率，切點取自 PISA 2022 技術報告 Annex Table 17.A.2。ESCS 斜率為家庭社經地位每增加一個標準差對應的分數變動，以合理推估值加權迴歸估計。閱讀與科學的對應數值請見隨附之互動式平台。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伍、教育公平性結果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本節以兩個指標檢視教育公平性：其一為社經梯度，即家庭社經地位對成績的迴歸斜率，斜率越大表示家庭背景的影響越強；其二為精熟等級兩端的學生比率，用以判斷分數變化係整體平移或分配拉開。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臺灣的數學社經梯度自 2015 年的 40.4 分、2018 年的 38.1 分，上升至 2022 年的 49.3 分（每一個標準差）。2022 年 80 個國家與經濟體的中位數為 33.3 分，臺灣明顯高於中位數。此結果顯示臺灣在平均成績上升的同時，家庭背景對學習成就的解釋力亦同步增強。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數學：平均分數與社經梯度</w:t>
      </w:r>
    </w:p>
    <w:p>
      <w:pPr>
        <w:pStyle w:val="centered"/>
      </w:pPr>
      <w:r>
        <w:rPr/>
        <w:drawing>
          <wp:inline distT="0" distB="0" distL="0" distR="0">
            <wp:extent cx="5733288" cy="3969199"/>
            <wp:docPr id="3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3969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縱軸為 ESCS 每增加一個標準差對應的分數變動，橫軸為平均分數，虛線為全體中位數。右下象限代表高成就且相對公平，右上象限代表高成就但家庭背景影響強。數學領域全體中位數為 33.3 分，全距自 8.1 分至 53.3 分，臺灣為 49.3 分。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17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閱讀：平均分數與社經梯度</w:t>
      </w:r>
    </w:p>
    <w:p>
      <w:pPr>
        <w:pStyle w:val="centered"/>
      </w:pPr>
      <w:r>
        <w:rPr/>
        <w:drawing>
          <wp:inline distT="0" distB="0" distL="0" distR="0">
            <wp:extent cx="5733288" cy="3969199"/>
            <wp:docPr id="3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3969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縱軸為 ESCS 每增加一個標準差對應的分數變動，橫軸為平均分數，虛線為全體中位數。右下象限代表高成就且相對公平，右上象限代表高成就但家庭背景影響強。閱讀領域全體中位數為 34.0 分，全距自 3.5 分至 51.5 分，臺灣為 39.9 分。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18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科學：平均分數與社經梯度</w:t>
      </w:r>
    </w:p>
    <w:p>
      <w:pPr>
        <w:pStyle w:val="centered"/>
      </w:pPr>
      <w:r>
        <w:rPr/>
        <w:drawing>
          <wp:inline distT="0" distB="0" distL="0" distR="0">
            <wp:extent cx="5733288" cy="3969199"/>
            <wp:docPr id="3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3969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縱軸為 ESCS 每增加一個標準差對應的分數變動，橫軸為平均分數，虛線為全體中位數。右下象限代表高成就且相對公平，右上象限代表高成就但家庭背景影響強。科學領域全體中位數為 34.2 分，全距自 3.7 分至 54.9 分，臺灣為 41.7 分。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19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數學：未達基礎水準與高表現學生比率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3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左側為未達 Level 2（基礎精熟水準）的加權學生比率，右側為達 Level 5 以上者，依前者由高至低排序。臺灣數學未達 Level 2 的比率自 2018 年的 13.98% 上升至 2022 年的 14.61%，同期達 Level 5 以上者自 23.19% 上升至 31.73%。兩端比率同時上升，顯示變化並非整體平移，而是分配向兩側拉開。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20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閱讀：未達基礎水準與高表現學生比率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3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左側為未達 Level 2（基礎精熟水準）的加權學生比率，右側為達 Level 5 以上者，依前者由高至低排序。臺灣閱讀未達 Level 2 的比率自 2018 年的 17.81% 上升至 2022 年的 15.80%，同期達 Level 5 以上者自 10.91% 上升至 14.01%。兩端比率同時上升，顯示變化並非整體平移，而是分配向兩側拉開。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科學：未達基礎水準與高表現學生比率</w:t>
      </w:r>
    </w:p>
    <w:p>
      <w:pPr>
        <w:pStyle w:val="centered"/>
      </w:pPr>
      <w:r>
        <w:rPr/>
        <w:drawing>
          <wp:inline distT="0" distB="0" distL="0" distR="0">
            <wp:extent cx="5733288" cy="6758665"/>
            <wp:docPr id="4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6758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左側為未達 Level 2（基礎精熟水準）的加權學生比率，右側為達 Level 5 以上者，依前者由高至低排序。臺灣科學未達 Level 2 的比率自 2018 年的 15.15% 上升至 2022 年的 12.08%，同期達 Level 5 以上者自 11.67% 上升至 17.78%。兩端比率同時上升，顯示變化並非整體平移，而是分配向兩側拉開。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數學：女學生與男學生之分數差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4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正值代表女學生分數較高，橫線為 95% 信賴區間，淡色表示差異未達統計顯著。臺灣數學領域的性別差距為 -5.6 分（SE = 6.63，p = 0.396）。同一輪次內的兩組比較位於同一次量尺連結上，故不需納入連結誤差。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閱讀：女學生與男學生之分數差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4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正值代表女學生分數較高，橫線為 95% 信賴區間，淡色表示差異未達統計顯著。臺灣閱讀領域的性別差距為 +26.9 分（SE = 5.76，p = 0.000）。同一輪次內的兩組比較位於同一次量尺連結上，故不需納入連結誤差。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240" w:line="36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圖 24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4"/>
          <w:szCs w:val="24"/>
          <w:color w:val="000000"/>
        </w:rPr>
        <w:t xml:space="preserve">PISA 2022 科學：女學生與男學生之分數差</w:t>
      </w:r>
    </w:p>
    <w:p>
      <w:pPr>
        <w:pStyle w:val="centered"/>
      </w:pPr>
      <w:r>
        <w:rPr/>
        <w:drawing>
          <wp:inline distT="0" distB="0" distL="0" distR="0">
            <wp:extent cx="5733288" cy="7029011"/>
            <wp:docPr id="4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288" cy="7029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60" w:line="360"/>
        <w:ind w:left="0" w:right="0" w:firstLine="0" w:firstLineChars="0"/>
      </w:pPr>
      <w:r>
        <w:rPr>
          <w:rFonts w:ascii="Times New Roman" w:hAnsi="Times New Roman" w:eastAsia="BiauKaiTC" w:cs="BiauKaiTC"/>
          <w:i w:val="true"/>
          <w:b w:val="false"/>
          <w:u w:val="none"/>
          <w:strike w:val="false"/>
          <w:sz w:val="22"/>
          <w:szCs w:val="22"/>
          <w:color w:val="000000"/>
        </w:rPr>
        <w:t xml:space="preserve">註. </w:t>
      </w: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2"/>
          <w:szCs w:val="22"/>
          <w:color w:val="000000"/>
        </w:rPr>
        <w:t xml:space="preserve">正值代表女學生分數較高，橫線為 95% 信賴區間，淡色表示差異未達統計顯著。臺灣科學領域的性別差距為 -3.4 分（SE = 5.83，p = 0.565）。同一輪次內的兩組比較位於同一次量尺連結上，故不需納入連結誤差。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陸、結論與研究限制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一、主要發現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第一，臺灣在 PISA 2022 三個核心領域的表現均居國際前列（數學第 3 位、科學第 4 位、閱讀第 5 位），且相較 2018 年均達統計顯著的進步。惟若以 2015 年為基期，數學與科學的變化則未達顯著，顯示 2018 年係三輪中的低點，基期選擇對趨勢結論具決定性影響。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第二，臺灣的成績提升伴隨分配擴大而非整體平移。數學未達基礎水準者的比率自 2018 年的 13.98% 上升至 2022 年的 14.61%，同期高表現者自 23.19% 上升至 31.73%，兩端同時擴張。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第三，社經梯度明顯變陡。臺灣數學的社經梯度自 2018 年的 38.1 分升至 2022 年的 49.3 分，高於全體中位數 33.3 分。成績提升與教育機會均等並未同步。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二、方法學上的提醒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本研究實證顯示，在全部 396 組跨輪次比較中，有 16 組於忽略連結誤差時會得到錯誤的顯著性結論，標準誤最多被低估至 2.44 倍。國內外以 PISA 資料進行趨勢分析的研究，宜明確交代是否納入連結誤差。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此外，加權與否對結果的影響遠大於一般預期。以 PISA 2022 數學為例，臺灣未加權平均為 534.02 分，加權後為 547.13 分，相差 13.11 分，為全體 80 個國家與經濟體中差異最大者。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4"/>
          <w:szCs w:val="24"/>
          <w:color w:val="000000"/>
        </w:rPr>
        <w:t xml:space="preserve">三、研究限制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第一，PISA 屬重複橫斷設計而非追蹤設計。每一輪抽取的是不同的 15 歲學生，並無任何學生被重複測量。因此本研究的所有趨勢結果均為群體層次的比較，不得詮釋為個別學生的成長軌跡，亦不適用潛在成長模型、交叉延宕模型或個體層次的固定效果模型。若研究問題必須探討個人成長，須改用具追蹤設計的資料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第二，跨輪次可比性有其上限。各領域最早僅能回溯至其首次成為主測領域的輪次：閱讀為 2000 年、數學為 2003 年、科學為 2006 年。此外，PISA 自 2015 年起主要改採電腦施測，跨越該年的比較其不確定性本質上高於其後各輪之間的比較。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第三，ESCS 指標於 2022 年重新校準，各輪原始 ESCS 不可直接比較。本研究涉及社經地位的跨輪分析已改用 OECD 發布之 trend ESCS，惟該檔僅涵蓋 2012、2015 與 2018 三輪，故社經地位的可比區間較成績趨勢為窄。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7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第四，PISA 2022 的施測期間橫跨 COVID-19 疫情，部分國家延後施測或調整樣本。詮釋 2018 年至 2022 年的變化時，教育政策效果與疫情衝擊難以分離。</w:t>
      </w:r>
    </w:p>
    <w:p>
      <w:pPr/>
      <w:r>
        <w:br w:type="page"/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firstLine="0" w:firstLineChars="0"/>
      </w:pPr>
      <w:r>
        <w:rPr>
          <w:rFonts w:ascii="Times New Roman" w:hAnsi="Times New Roman" w:eastAsia="BiauKaiTC" w:cs="BiauKaiTC"/>
          <w:i w:val="false"/>
          <w:b w:val="true"/>
          <w:u w:val="none"/>
          <w:strike w:val="false"/>
          <w:sz w:val="28"/>
          <w:szCs w:val="28"/>
          <w:color w:val="000000"/>
        </w:rPr>
        <w:t xml:space="preserve">參考文獻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OECD (2023). PISA 2022 results (Volume I): The state of learning and equity in education. OECD Publishing. https://doi.org/10.1787/53f23881-en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OECD (2024). PISA 2022 technical report. OECD Publishing. https://doi.org/10.1787/01820d6d-en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OECD (2009). PISA data analysis manual: SPSS (2nd ed.). OECD Publishing.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Rubin, D. B. (1987). Multiple imputation for nonresponse in surveys. John Wiley &amp; Sons.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Judkins, D. R. (1990). Fay's method for variance estimation. Journal of Official Statistics, 6(3), 223–239.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480"/>
        <w:ind w:left="0" w:right="0" w:hanging="10"/>
      </w:pPr>
      <w:r>
        <w:rPr>
          <w:rFonts w:ascii="Times New Roman" w:hAnsi="Times New Roman" w:eastAsia="BiauKaiTC" w:cs="BiauKaiTC"/>
          <w:i w:val="false"/>
          <w:b w:val="false"/>
          <w:u w:val="none"/>
          <w:strike w:val="false"/>
          <w:sz w:val="24"/>
          <w:szCs w:val="24"/>
          <w:color w:val="000000"/>
        </w:rPr>
        <w:t xml:space="preserve">Wolter, K. M. (2007). Introduction to variance estimation (2nd ed.). Springer.</w:t>
      </w:r>
    </w:p>
    <w:sectPr>
      <w:pgMar w:header="720" w:bottom="1440" w:top="1440" w:right="1440" w:left="1440" w:footer="720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1dde4bdd40347d82d99ae1f141d526b49d9c0d7d.png"/>
<Relationship Id="rId8" Type="http://schemas.openxmlformats.org/officeDocument/2006/relationships/image" Target="media/ba7005b08c78aa41fadb09ba9437a5025a2f1920.png"/>
<Relationship Id="rId9" Type="http://schemas.openxmlformats.org/officeDocument/2006/relationships/image" Target="media/92a170d846c91b7d7d2174d05831032cb8bcf271.png"/>
<Relationship Id="rId10" Type="http://schemas.openxmlformats.org/officeDocument/2006/relationships/image" Target="media/f260962db2e2eff94a541aef647cb3ab356ee8aa.png"/>
<Relationship Id="rId11" Type="http://schemas.openxmlformats.org/officeDocument/2006/relationships/image" Target="media/b5f5e1863fbb569c98e69ff38e5563ad8c3d0518.png"/>
<Relationship Id="rId12" Type="http://schemas.openxmlformats.org/officeDocument/2006/relationships/image" Target="media/e6634984d79ffbb997df4f50d8973b9f3f4d44c4.png"/>
<Relationship Id="rId13" Type="http://schemas.openxmlformats.org/officeDocument/2006/relationships/image" Target="media/e70488c7ad2fd27185130e55e75be9cb933214b7.png"/>
<Relationship Id="rId14" Type="http://schemas.openxmlformats.org/officeDocument/2006/relationships/image" Target="media/6a11165bc845e20582910eeb5b0e387eaf032d27.png"/>
<Relationship Id="rId15" Type="http://schemas.openxmlformats.org/officeDocument/2006/relationships/image" Target="media/5be5acaf1cf887ad71b90e0d087fe6a6103a5218.png"/>
<Relationship Id="rId16" Type="http://schemas.openxmlformats.org/officeDocument/2006/relationships/image" Target="media/f8c0a78384dbd4af1c64d670aa735bd54ceed144.png"/>
<Relationship Id="rId17" Type="http://schemas.openxmlformats.org/officeDocument/2006/relationships/image" Target="media/91c682b3566179d89a81a8d31b384619c724b147.png"/>
<Relationship Id="rId18" Type="http://schemas.openxmlformats.org/officeDocument/2006/relationships/image" Target="media/6207eb95f5459d869184a60253982e40ba17ce4a.png"/>
<Relationship Id="rId19" Type="http://schemas.openxmlformats.org/officeDocument/2006/relationships/image" Target="media/bdb3d22544508b2602a116a321761701d131f7c9.png"/>
<Relationship Id="rId20" Type="http://schemas.openxmlformats.org/officeDocument/2006/relationships/image" Target="media/9025e99a3432b2c247c6bb2bdac21352b7f365bb.png"/>
<Relationship Id="rId21" Type="http://schemas.openxmlformats.org/officeDocument/2006/relationships/image" Target="media/4a150234e825e07baf45b438686cfea862114c3d.png"/>
<Relationship Id="rId22" Type="http://schemas.openxmlformats.org/officeDocument/2006/relationships/image" Target="media/a5b1901327a16c2a19341d31f38847285e4dfc88.png"/>
<Relationship Id="rId23" Type="http://schemas.openxmlformats.org/officeDocument/2006/relationships/image" Target="media/0e0cc3f56c6b7603be6566a30890e0b4e3fbdeff.png"/>
<Relationship Id="rId24" Type="http://schemas.openxmlformats.org/officeDocument/2006/relationships/image" Target="media/ee6e90392443cfe0b897e86255e17191d6dee074.png"/>
<Relationship Id="rId25" Type="http://schemas.openxmlformats.org/officeDocument/2006/relationships/image" Target="media/dad986fd286bc1309f69ff2cde7fac92d77a6114.png"/>
<Relationship Id="rId26" Type="http://schemas.openxmlformats.org/officeDocument/2006/relationships/image" Target="media/edb7162374cd2a0fedd420e5ed7817f0af947f0d.png"/>
<Relationship Id="rId27" Type="http://schemas.openxmlformats.org/officeDocument/2006/relationships/image" Target="media/c8b5fea47566fe780a4b96ac76713bcbf7616a8f.png"/>
<Relationship Id="rId28" Type="http://schemas.openxmlformats.org/officeDocument/2006/relationships/image" Target="media/50b1c59dea6704383c5fd68e64e0d68e97aaa649.png"/>
<Relationship Id="rId29" Type="http://schemas.openxmlformats.org/officeDocument/2006/relationships/image" Target="media/7ccab230e7442d05ec7316b5677e31f873501670.png"/>
<Relationship Id="rId30" Type="http://schemas.openxmlformats.org/officeDocument/2006/relationships/image" Target="media/690a3d908d349d6c7c87ccaf3b5b5eeeb1b955da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yi-an</cp:lastModifiedBy>
  <cp:revision>9</cp:revision>
  <dcterms:created xsi:type="dcterms:W3CDTF">2017-02-28T11:18:00Z</dcterms:created>
  <dcterms:modified xsi:type="dcterms:W3CDTF">2026-08-27T14:00:09Z</dcterms:modified>
  <cp:category/>
</cp:coreProperties>
</file>