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32"/>
          <w:szCs w:val="32"/>
          <w:color w:val="000000"/>
        </w:rPr>
        <w:t xml:space="preserve">PISA 2015–2022 國際學生能力評量結果分析</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6"/>
          <w:szCs w:val="26"/>
          <w:color w:val="000000"/>
        </w:rPr>
        <w:t xml:space="preserve">加權估計、精熟等級分布與跨輪次趨勢</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12"/>
          <w:szCs w:val="12"/>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分析樣本：1,745,082 名學生，98 個國家與經濟體</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資料來源：OECD PISA 公開使用檔（2015、2018、2022）</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報告產生日期：2026 年 08 月 28 日</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壹、研究方法</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一、資料來源與樣本</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本研究使用經濟合作暨發展組織（OECD）國際學生能力評量計畫（Programme for International Student Assessment, PISA）2015、2018 與 2022 三個輪次的公開使用檔（Public Use Files）。三輪合計 1,745,082 名 15 歲學生，涵蓋 98 個國家與經濟體。各輪參與數分別為 2015 年 73 個、2018 年 80 個、2022 年 80 個。臺灣三輪的學生樣本數分別為 7,708 人、7,243 人與 5,857 人。</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須特別說明者，OECD 並未將越南 2018 年的合理推估值置於主學生檔，而是另以獨立檔案發布；本研究已將該檔併入，故越南 2018 年的估計值完整可用。</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二、抽樣設計與權重</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採兩階段叢集抽樣：第一階段依學校規模機率抽取學校，第二階段於校內隨機抽取學生。由於各校與各生被抽中的機率不同，每筆資料均帶有最終學生權重（W_FSTUWT）。本研究所有估計值一律加權；未加權的統計量描述的是樣本而非母體，不具推論意義。</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變異數估計採用 Fay 平衡重複半樣本法（balanced repeated replication, BRR），使用官方提供的 80 組重複權重（W_FSTURWT1 至 W_FSTURWT80），Fay 係數設為 0.5。此方法可正確反映叢集抽樣造成的設計效應；若逕以簡單隨機抽樣公式計算標準誤，將嚴重低估不確定性。</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三、合理推估值與變異數合併</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的能力分數並非直接測得，而是以項目反應理論搭配潛在迴歸模型，自學生能力的後驗分配抽取 10 個合理推估值（plausible values）。本研究對每個推估值分別估計，再依 Rubin 規則合併，總變異數為抽樣變異與推估變異之和：</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V = V</w:t>
      </w:r>
      <w:r>
        <w:rPr>
          <w:rFonts w:ascii="Times New Roman" w:hAnsi="Times New Roman" w:eastAsia="BiauKaiTC" w:cs="BiauKaiTC"/>
          <w:i w:val="false"/>
          <w:b w:val="false"/>
          <w:u w:val="none"/>
          <w:strike w:val="false"/>
          <w:sz w:val="18"/>
          <w:szCs w:val="18"/>
          <w:color w:val="000000"/>
        </w:rPr>
        <w:t xml:space="preserve">抽樣</w:t>
      </w:r>
      <w:r>
        <w:rPr>
          <w:rFonts w:ascii="Times New Roman" w:hAnsi="Times New Roman" w:eastAsia="BiauKaiTC" w:cs="BiauKaiTC"/>
          <w:i w:val="false"/>
          <w:b w:val="false"/>
          <w:u w:val="none"/>
          <w:strike w:val="false"/>
          <w:sz w:val="24"/>
          <w:szCs w:val="24"/>
          <w:color w:val="000000"/>
        </w:rPr>
        <w:t xml:space="preserve"> + (1 + 1/M) × B</w:t>
      </w:r>
      <w:r>
        <w:rPr>
          <w:rFonts w:ascii="Times New Roman" w:hAnsi="Times New Roman" w:eastAsia="BiauKaiTC" w:cs="BiauKaiTC"/>
          <w:i w:val="false"/>
          <w:b w:val="false"/>
          <w:u w:val="none"/>
          <w:strike w:val="false"/>
          <w:sz w:val="18"/>
          <w:szCs w:val="18"/>
          <w:color w:val="000000"/>
        </w:rPr>
        <w:t xml:space="preserve">M</w:t>
      </w:r>
      <w:r>
        <w:rPr>
          <w:rFonts w:ascii="Times New Roman" w:hAnsi="Times New Roman" w:eastAsia="BiauKaiTC" w:cs="BiauKaiTC"/>
          <w:i w:val="false"/>
          <w:b w:val="false"/>
          <w:u w:val="none"/>
          <w:strike w:val="false"/>
          <w:sz w:val="24"/>
          <w:szCs w:val="24"/>
          <w:color w:val="000000"/>
        </w:rPr>
        <w:t xml:space="preserve">，M = 10</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其中抽樣變異以 80 組重複權重估計，推估變異為 10 個推估值之間的變異。僅使用單一個推估值，或先將 10 個推估值平均再視為觀測值，兩者皆會低估標準誤。</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四、跨輪次比較與連結誤差</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各輪分數雖位於同一連結量尺上，但量尺連結本身存在不確定性，稱為連結誤差（link error）。跨輪次差異檢定的標準誤應為三項之和開根號：</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SE</w:t>
      </w:r>
      <w:r>
        <w:rPr>
          <w:rFonts w:ascii="Times New Roman" w:hAnsi="Times New Roman" w:eastAsia="BiauKaiTC" w:cs="BiauKaiTC"/>
          <w:i w:val="false"/>
          <w:b w:val="false"/>
          <w:u w:val="none"/>
          <w:strike w:val="false"/>
          <w:sz w:val="18"/>
          <w:szCs w:val="18"/>
          <w:color w:val="000000"/>
        </w:rPr>
        <w:t xml:space="preserve">差異</w:t>
      </w:r>
      <w:r>
        <w:rPr>
          <w:rFonts w:ascii="Times New Roman" w:hAnsi="Times New Roman" w:eastAsia="BiauKaiTC" w:cs="BiauKaiTC"/>
          <w:i w:val="false"/>
          <w:b w:val="false"/>
          <w:u w:val="none"/>
          <w:strike w:val="false"/>
          <w:sz w:val="24"/>
          <w:szCs w:val="24"/>
          <w:color w:val="000000"/>
        </w:rPr>
        <w:t xml:space="preserve"> = √(SE₁² + SE₂² + 連結誤差²)</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連結誤差與樣本大小無關，增加樣本並不能使其縮小。本研究所採用的數值取自 PISA 2022 技術報告 Annex Table 14.A.19（見表 3）。省略此項是趨勢分析最常見的錯誤，其後果詳見本報告第參節。</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五、分析工具與驗證</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全部估計於 R 4.5.2 環境完成，圖表以 ggplot2 繪製。估計核心經三種獨立實作交叉驗證：自建函式庫、intsvy 套件，以及 survey 套件為基礎的複雜抽樣估計程序。以臺灣 2022 年數學為例，三者均得平均數 547.09、標準誤 3.778（抽樣成分 3.728、推估成分 0.611）。臺灣 2015 年三領域的估計值亦與 OECD 公布結果一致。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各輪次樣本結構</w:t>
      </w:r>
    </w:p>
    <w:tbl xmlns:a="http://schemas.openxmlformats.org/drawingml/2006/main" xmlns:pic="http://schemas.openxmlformats.org/drawingml/2006/picture">
      <w:tblPr>
        <w:tblLayout w:type="fixed"/>
        <w:jc w:val="start"/>
        <w:tblLook w:firstRow="1" w:lastRow="0" w:firstColumn="0" w:lastColumn="0" w:noHBand="0" w:noVBand="1"/>
      </w:tblPr>
      <w:tblGrid>
        <w:gridCol w:w="861"/>
        <w:gridCol w:w="1061"/>
        <w:gridCol w:w="1500"/>
        <w:gridCol w:w="1188"/>
        <w:gridCol w:w="1188"/>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輪次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學生數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國家與經濟體數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臺灣學生數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臺灣學校數</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519,334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192</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613,744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182</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學生數為未加權的樣本人數。加權後各輪代表該國全體 15 歲在學學生母體。2015 年參與數較少，係因部分國家自 2018 年起始加入。</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貳、描述統計結果</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數學各國加權平均與未加權平均之差</w:t>
      </w:r>
    </w:p>
    <w:p>
      <w:pPr>
        <w:pStyle w:val="centered"/>
      </w:pPr>
      <w:r>
        <w:rPr/>
        <w:drawing>
          <wp:inline distT="0" distB="0" distL="0" distR="0">
            <wp:extent cx="5733288" cy="6879946"/>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33288" cy="687994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差值為加權平均減未加權平均，臺灣以深色標示。80 個國家與經濟體的差異中位數為 2.07 分，最大達 20.60 分（泰國，加權後較低）。臺灣為正向差異最大者：未加權平均 534.02 分，加權後 547.13 分，相差 13.11 分。此結果顯示忽略抽樣權重並非小數點後的誤差問題，而會實質改變國際比較的相對位置。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臺灣學生分數的加權分配（2015、2018、2022）</w:t>
      </w:r>
    </w:p>
    <w:p>
      <w:pPr>
        <w:pStyle w:val="centered"/>
      </w:pPr>
      <w:r>
        <w:rPr/>
        <w:drawing>
          <wp:inline distT="0" distB="0" distL="0" distR="0">
            <wp:extent cx="5733288" cy="2675534"/>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33288" cy="267553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本圖將 10 個合理推估值全數攤平並各給予十分之一權重，再以最終學生權重加權，此為描述能力分配的正確作法。三個領域在 2022 年的分配整體右移，惟分配寬度亦同步增加，顯示平均數上升的同時個別差異亦擴大。若先將 10 個推估值平均後再繪圖，會系統性低估分配的離散程度。</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臺灣分數分布的加權五數概括</w:t>
      </w:r>
    </w:p>
    <w:p>
      <w:pPr>
        <w:pStyle w:val="centered"/>
      </w:pPr>
      <w:r>
        <w:rPr/>
        <w:drawing>
          <wp:inline distT="0" distB="0" distL="0" distR="0">
            <wp:extent cx="5733288" cy="2675534"/>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733288" cy="267553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盒為加權四分位距，鬚為加權第 5 與第 95 百分位，均以最終學生權重計算加權分位數，非樣本分位數。2022 年三領域的中位數皆高於 2018 年，惟盒身與鬚長亦同時增加，與圖 2 的分配形態一致。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臺灣學生家庭社經地位（ESCS）的加權分布</w:t>
      </w:r>
    </w:p>
    <w:p>
      <w:pPr>
        <w:pStyle w:val="centered"/>
      </w:pPr>
      <w:r>
        <w:rPr/>
        <w:drawing>
          <wp:inline distT="0" distB="0" distL="0" distR="0">
            <wp:extent cx="5733288" cy="3057754"/>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733288" cy="305775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ESCS 為 OECD 建構之經濟社會文化地位綜合指標，由父母職業地位、父母教育程度與家庭教育資產三者合成，並標準化為 2022 年 OECD 國家平均為 0、標準差為 1。虛線標示該基準。須注意各輪原始 ESCS 的量尺並不相同，跨輪比較須改用 OECD 另行發布的 trend ESCS。</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標準誤的兩個變異來源（PISA 2022）</w:t>
      </w:r>
    </w:p>
    <w:p>
      <w:pPr>
        <w:pStyle w:val="centered"/>
      </w:pPr>
      <w:r>
        <w:rPr/>
        <w:drawing>
          <wp:inline distT="0" distB="0" distL="0" distR="0">
            <wp:extent cx="5733288" cy="2773101"/>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抽樣變異源自複雜抽樣設計，以 80 組 Fay 重複權重估計；推估變異源自能力值係自後驗分配抽取而非直接測得。在九個焦點經濟體中，推估變異占總變異的比例介於 1.99%（臺灣科學）至 39.89%（新加坡閱讀）之間，中位數為 5.97%。僅使用單一個推估值會完全遺漏此一成分。</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參、趨勢分析結果</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東亞主要經濟體與對照國的各輪平均分數與 95% 信賴區間</w:t>
      </w:r>
    </w:p>
    <w:p>
      <w:pPr>
        <w:pStyle w:val="centered"/>
      </w:pPr>
      <w:r>
        <w:rPr/>
        <w:drawing>
          <wp:inline distT="0" distB="0" distL="0" distR="0">
            <wp:extent cx="5733288" cy="2773101"/>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陰影帶為 95% 信賴區間，臺灣以粗線標示。臺灣三輪數學平均分別為 542.3、531.1 與 547.1 分；閱讀為 497.1、502.6 與 515.2 分；科學為 532.4、515.8 與 537.4 分。2018 年為三輪中的低點，選擇不同基期將導致不同的趨勢結論。信賴區間重疊並不等同於差異未達顯著，正式檢定須另納入連結誤差。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臺灣三輪次平均分數與跨輪次檢定</w:t>
      </w:r>
    </w:p>
    <w:tbl xmlns:a="http://schemas.openxmlformats.org/drawingml/2006/main" xmlns:pic="http://schemas.openxmlformats.org/drawingml/2006/picture">
      <w:tblPr>
        <w:tblLayout w:type="fixed"/>
        <w:jc w:val="start"/>
        <w:tblLook w:firstRow="1" w:lastRow="0" w:firstColumn="0" w:lastColumn="0" w:noHBand="0" w:noVBand="1"/>
      </w:tblPr>
      <w:tblGrid>
        <w:gridCol w:w="722"/>
        <w:gridCol w:w="1394"/>
        <w:gridCol w:w="1394"/>
        <w:gridCol w:w="1394"/>
        <w:gridCol w:w="1772"/>
        <w:gridCol w:w="8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領域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2022</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2018→2022 變化</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值</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542.3 (3.03)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531.1 (2.89)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 (3.78)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497.1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502.6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515.2 (3.25)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0.006</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532.4 (2.69)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515.8 (2.87)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537.4 (3.31)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0.000</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括號內為標準誤。變化欄為 2022 年減 2018 年。p 值以納入連結誤差之標準誤計算，數學連結誤差為 2.24 分、閱讀 1.47 分、科學 1.61 分。三個領域自 2018 年至 2022 年的進步均達統計顯著。惟若以 2015 年為基期，數學與科學的變化則未達顯著，顯示基期選擇對結論具決定性影響。</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與各輪次比較之連結誤差</w:t>
      </w:r>
    </w:p>
    <w:tbl xmlns:a="http://schemas.openxmlformats.org/drawingml/2006/main" xmlns:pic="http://schemas.openxmlformats.org/drawingml/2006/picture">
      <w:tblPr>
        <w:tblLayout w:type="fixed"/>
        <w:jc w:val="start"/>
        <w:tblLook w:firstRow="1" w:lastRow="0" w:firstColumn="0" w:lastColumn="0" w:noHBand="0" w:noVBand="1"/>
      </w:tblPr>
      <w:tblGrid>
        <w:gridCol w:w="1994"/>
        <w:gridCol w:w="761"/>
        <w:gridCol w:w="761"/>
        <w:gridCol w:w="761"/>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比較</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財金素養</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2000 → 2022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6.67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2003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2006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2009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2012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2015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3.47</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2018 → 2022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2.20</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資料來源：PISA 2022 技術報告 Annex Table 14.A.19。破折號表示該領域於該輪次尚非主測領域，OECD 明示不可比較：數學最早可回溯至 2003 年、閱讀至 2000 年、科學至 2006 年。連結誤差數值差異甚大，2018 年至 2022 年的閱讀僅 1.47 分，2006 年至 2022 年則達 8.56 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本研究對全部 396 組跨輪次比較（3 個領域 × 2 個基期 × 各國）同時計算兩種標準誤：忽略連結誤差者與正確納入者。結果顯示，其中 16 組在忽略連結誤差時判定為統計顯著，正確計算後則否；標準誤最多被低估至 2.44 倍。此比例雖非多數，但足以說明省略連結誤差會實質提高型一錯誤率。</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數學：2015 年至 2022 年變化的兩種信賴區間對照</w:t>
      </w:r>
    </w:p>
    <w:p>
      <w:pPr>
        <w:pStyle w:val="centered"/>
      </w:pPr>
      <w:r>
        <w:rPr/>
        <w:drawing>
          <wp:inline distT="0" distB="0" distL="0" distR="0">
            <wp:extent cx="5733288" cy="6758665"/>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2.74 分，共 61 個國家與經濟體參與比較。忽略連結誤差時有 45 組判為顯著，正確計算後為 44 組，其中 1 組結論改變，標準誤最多被低估至 2.03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數學：2018 年至 2022 年變化的兩種信賴區間對照</w:t>
      </w:r>
    </w:p>
    <w:p>
      <w:pPr>
        <w:pStyle w:val="centered"/>
      </w:pPr>
      <w:r>
        <w:rPr/>
        <w:drawing>
          <wp:inline distT="0" distB="0" distL="0" distR="0">
            <wp:extent cx="5733288" cy="6758665"/>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2.24 分，共 71 個國家與經濟體參與比較。忽略連結誤差時有 53 組判為顯著，正確計算後為 47 組，其中 6 組結論改變，標準誤最多被低估至 1.81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閱讀：2015 年至 2022 年變化的兩種信賴區間對照</w:t>
      </w:r>
    </w:p>
    <w:p>
      <w:pPr>
        <w:pStyle w:val="centered"/>
      </w:pPr>
      <w:r>
        <w:rPr/>
        <w:drawing>
          <wp:inline distT="0" distB="0" distL="0" distR="0">
            <wp:extent cx="5733288" cy="6758665"/>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3.63 分，共 61 個國家與經濟體參與比較。忽略連結誤差時有 41 組判為顯著，正確計算後為 34 組，其中 7 組結論改變，標準誤最多被低估至 2.44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閱讀：2018 年至 2022 年變化的兩種信賴區間對照</w:t>
      </w:r>
    </w:p>
    <w:p>
      <w:pPr>
        <w:pStyle w:val="centered"/>
      </w:pPr>
      <w:r>
        <w:rPr/>
        <w:drawing>
          <wp:inline distT="0" distB="0" distL="0" distR="0">
            <wp:extent cx="5733288" cy="6758665"/>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1.47 分，共 71 個國家與經濟體參與比較。忽略連結誤差時有 43 組判為顯著，正確計算後為 43 組，其中 0 組結論改變，標準誤最多被低估至 1.47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科學：2015 年至 2022 年變化的兩種信賴區間對照</w:t>
      </w:r>
    </w:p>
    <w:p>
      <w:pPr>
        <w:pStyle w:val="centered"/>
      </w:pPr>
      <w:r>
        <w:rPr/>
        <w:drawing>
          <wp:inline distT="0" distB="0" distL="0" distR="0">
            <wp:extent cx="5733288" cy="6758665"/>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1.38 分，共 61 個國家與經濟體參與比較。忽略連結誤差時有 39 組判為顯著，正確計算後為 37 組，其中 2 組結論改變，標準誤最多被低估至 1.34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科學：2018 年至 2022 年變化的兩種信賴區間對照</w:t>
      </w:r>
    </w:p>
    <w:p>
      <w:pPr>
        <w:pStyle w:val="centered"/>
      </w:pPr>
      <w:r>
        <w:rPr/>
        <w:drawing>
          <wp:inline distT="0" distB="0" distL="0" distR="0">
            <wp:extent cx="5733288" cy="6758665"/>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1.61 分，共 71 個國家與經濟體參與比較。忽略連結誤差時有 37 組判為顯著，正確計算後為 37 組，其中 0 組結論改變，標準誤最多被低估至 1.38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因納入連結誤差而改變統計結論的比較</w:t>
      </w:r>
    </w:p>
    <w:tbl xmlns:a="http://schemas.openxmlformats.org/drawingml/2006/main" xmlns:pic="http://schemas.openxmlformats.org/drawingml/2006/picture">
      <w:tblPr>
        <w:tblLayout w:type="fixed"/>
        <w:jc w:val="start"/>
        <w:tblLook w:firstRow="1" w:lastRow="0" w:firstColumn="0" w:lastColumn="0" w:noHBand="0" w:noVBand="1"/>
      </w:tblPr>
      <w:tblGrid>
        <w:gridCol w:w="1344"/>
        <w:gridCol w:w="722"/>
        <w:gridCol w:w="861"/>
        <w:gridCol w:w="773"/>
        <w:gridCol w:w="1005"/>
        <w:gridCol w:w="961"/>
        <w:gridCol w:w="1005"/>
        <w:gridCol w:w="9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領域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基期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變化</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 忽略</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忽略</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 正確</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正確</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0.0841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0.0851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0.0875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0.0820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0.0883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0.0904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0.0955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0.1373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0.2276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0.0558</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0.0146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0.0677</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下列各組於忽略連結誤差時判定為顯著（p &lt; .05），正確計算後則未達顯著。變化欄為 2022 年減基期年之分數差。此表為圖 7 至圖 12 中紅點所標示者之完整清單。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肆、各國比較結果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2022 共 80 個國家與經濟體參與三個核心領域。臺灣的表現在數學居第 3 位、科學第 4 位、閱讀第 5 位。須注意排名之間的差距未必具統計意義，相鄰名次的信賴區間多有重疊。</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數學各國平均分數與 95% 信賴區間</w:t>
      </w:r>
    </w:p>
    <w:p>
      <w:pPr>
        <w:pStyle w:val="centered"/>
      </w:pPr>
      <w:r>
        <w:rPr/>
        <w:drawing>
          <wp:inline distT="0" distB="0" distL="0" distR="0">
            <wp:extent cx="5733288" cy="7029011"/>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信賴區間，圓點為加權平均分數，臺灣以深色標示。臺灣數學平均 547.1 分（SE = 3.78），在 80 個國家與經濟體中居第 3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閱讀各國平均分數與 95% 信賴區間</w:t>
      </w:r>
    </w:p>
    <w:p>
      <w:pPr>
        <w:pStyle w:val="centered"/>
      </w:pPr>
      <w:r>
        <w:rPr/>
        <w:drawing>
          <wp:inline distT="0" distB="0" distL="0" distR="0">
            <wp:extent cx="5733288" cy="7029011"/>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信賴區間，圓點為加權平均分數，臺灣以深色標示。臺灣閱讀平均 515.2 分（SE = 3.25），在 80 個國家與經濟體中居第 5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科學各國平均分數與 95% 信賴區間</w:t>
      </w:r>
    </w:p>
    <w:p>
      <w:pPr>
        <w:pStyle w:val="centered"/>
      </w:pPr>
      <w:r>
        <w:rPr/>
        <w:drawing>
          <wp:inline distT="0" distB="0" distL="0" distR="0">
            <wp:extent cx="5733288" cy="7029011"/>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1"/>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信賴區間，圓點為加權平均分數，臺灣以深色標示。臺灣科學平均 537.4 分（SE = 3.31），在 80 個國家與經濟體中居第 4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數學各國估計值一覽</w:t>
      </w:r>
    </w:p>
    <w:tbl xmlns:a="http://schemas.openxmlformats.org/drawingml/2006/main" xmlns:pic="http://schemas.openxmlformats.org/drawingml/2006/picture">
      <w:tblPr>
        <w:tblLayout w:type="fixed"/>
        <w:jc w:val="start"/>
        <w:tblLook w:firstRow="1" w:lastRow="0" w:firstColumn="0" w:lastColumn="0" w:noHBand="0" w:noVBand="1"/>
      </w:tblPr>
      <w:tblGrid>
        <w:gridCol w:w="547"/>
        <w:gridCol w:w="2022"/>
        <w:gridCol w:w="672"/>
        <w:gridCol w:w="582"/>
        <w:gridCol w:w="1106"/>
        <w:gridCol w:w="1106"/>
        <w:gridCol w:w="1022"/>
        <w:gridCol w:w="762"/>
      </w:tblGrid>
      <w:tr>
        <w:trPr>
          <w:trHeight w:val="314"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平均</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未達 L2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L5 以上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ESCS 斜率</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樣本數</w:t>
            </w:r>
          </w:p>
        </w:tc>
      </w:tr>
      <w:tr>
        <w:trPr>
          <w:trHeight w:val="2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6,606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4,384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5,857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5,907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5,760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6,392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荷蘭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5,046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5,569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8,286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英國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12,972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8,460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6,721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10,239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5,373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6,072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4,682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6,116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6,770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10,552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越南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3,127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4,552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5,824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6,135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3,360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7,250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5,576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3,876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6,413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6,403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7,364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19,769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6,107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6,235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7,676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7,069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蒙特內哥羅</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5,793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7,720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8,495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6,583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6,928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6,113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7,804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阿根廷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12,111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3,873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阿爾巴尼亞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7,905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6,867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7,799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4,544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6,027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瓜地馬拉</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5,190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6,705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5,084</w:t>
            </w:r>
          </w:p>
        </w:tc>
      </w:tr>
      <w:tr>
        <w:trPr>
          <w:trHeight w:val="30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柬埔寨</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5,279</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依平均分數排序。未達 L2 為未達基礎精熟水準（Level 2）的加權學生比率，L5 以上為達高表現水準的比率，切點取自 PISA 2022 技術報告 Annex Table 17.A.2。ESCS 斜率為家庭社經地位每增加一個標準差對應的分數變動，以合理推估值加權迴歸估計。閱讀與科學的對應數值請見隨附之互動式平台。</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伍、教育公平性結果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本節以兩個指標檢視教育公平性：其一為社經梯度，即家庭社經地位對成績的迴歸斜率，斜率越大表示家庭背景的影響越強；其二為精熟等級兩端的學生比率，用以判斷分數變化係整體平移或分配拉開。</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臺灣的數學社經梯度自 2015 年的 40.4 分、2018 年的 38.1 分，上升至 2022 年的 49.3 分（每一個標準差）。2022 年 80 個國家與經濟體的中位數為 33.3 分，臺灣明顯高於中位數。此結果顯示臺灣在平均成績上升的同時，家庭背景對學習成就的解釋力亦同步增強。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數學：平均分數與社經梯度</w:t>
      </w:r>
    </w:p>
    <w:p>
      <w:pPr>
        <w:pStyle w:val="centered"/>
      </w:pPr>
      <w:r>
        <w:rPr/>
        <w:drawing>
          <wp:inline distT="0" distB="0" distL="0" distR="0">
            <wp:extent cx="5733288" cy="3969199"/>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2"/>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每增加一個標準差對應的分數變動，橫軸為平均分數，虛線為全體中位數。右下象限代表高成就且相對公平，右上象限代表高成就但家庭背景影響強。數學領域全體中位數為 33.3 分，全距自 8.1 分至 53.3 分，臺灣為 49.3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閱讀：平均分數與社經梯度</w:t>
      </w:r>
    </w:p>
    <w:p>
      <w:pPr>
        <w:pStyle w:val="centered"/>
      </w:pPr>
      <w:r>
        <w:rPr/>
        <w:drawing>
          <wp:inline distT="0" distB="0" distL="0" distR="0">
            <wp:extent cx="5733288" cy="3969199"/>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3"/>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每增加一個標準差對應的分數變動，橫軸為平均分數，虛線為全體中位數。右下象限代表高成就且相對公平，右上象限代表高成就但家庭背景影響強。閱讀領域全體中位數為 34.0 分，全距自 3.5 分至 51.5 分，臺灣為 39.9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科學：平均分數與社經梯度</w:t>
      </w:r>
    </w:p>
    <w:p>
      <w:pPr>
        <w:pStyle w:val="centered"/>
      </w:pPr>
      <w:r>
        <w:rPr/>
        <w:drawing>
          <wp:inline distT="0" distB="0" distL="0" distR="0">
            <wp:extent cx="5733288" cy="3969199"/>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4"/>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每增加一個標準差對應的分數變動，橫軸為平均分數，虛線為全體中位數。右下象限代表高成就且相對公平，右上象限代表高成就但家庭背景影響強。科學領域全體中位數為 34.2 分，全距自 3.7 分至 54.9 分，臺灣為 41.7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數學：未達基礎水準與高表現學生比率</w:t>
      </w:r>
    </w:p>
    <w:p>
      <w:pPr>
        <w:pStyle w:val="centered"/>
      </w:pPr>
      <w:r>
        <w:rPr/>
        <w:drawing>
          <wp:inline distT="0" distB="0" distL="0" distR="0">
            <wp:extent cx="5733288" cy="6758665"/>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5"/>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以上者，依前者由高至低排序。臺灣數學未達 Level 2 的比率自 2018 年的 13.98% 上升至 2022 年的 14.61%，同期達 Level 5 以上者自 23.19% 上升至 31.73%。兩端比率同時上升，顯示變化並非整體平移，而是分配向兩側拉開。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閱讀：未達基礎水準與高表現學生比率</w:t>
      </w:r>
    </w:p>
    <w:p>
      <w:pPr>
        <w:pStyle w:val="centered"/>
      </w:pPr>
      <w:r>
        <w:rPr/>
        <w:drawing>
          <wp:inline distT="0" distB="0" distL="0" distR="0">
            <wp:extent cx="5733288" cy="6758665"/>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6"/>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以上者，依前者由高至低排序。臺灣閱讀未達 Level 2 的比率自 2018 年的 17.81% 上升至 2022 年的 15.80%，同期達 Level 5 以上者自 10.91% 上升至 14.01%。兩端比率同時上升，顯示變化並非整體平移，而是分配向兩側拉開。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科學：未達基礎水準與高表現學生比率</w:t>
      </w:r>
    </w:p>
    <w:p>
      <w:pPr>
        <w:pStyle w:val="centered"/>
      </w:pPr>
      <w:r>
        <w:rPr/>
        <w:drawing>
          <wp:inline distT="0" distB="0" distL="0" distR="0">
            <wp:extent cx="5733288" cy="6758665"/>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7"/>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以上者，依前者由高至低排序。臺灣科學未達 Level 2 的比率自 2018 年的 15.15% 上升至 2022 年的 12.08%，同期達 Level 5 以上者自 11.67% 上升至 17.78%。兩端比率同時上升，顯示變化並非整體平移，而是分配向兩側拉開。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數學：女學生與男學生之分數差</w:t>
      </w:r>
    </w:p>
    <w:p>
      <w:pPr>
        <w:pStyle w:val="centered"/>
      </w:pPr>
      <w:r>
        <w:rPr/>
        <w:drawing>
          <wp:inline distT="0" distB="0" distL="0" distR="0">
            <wp:extent cx="5733288" cy="7029011"/>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28"/>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信賴區間，淡色表示差異未達統計顯著。臺灣數學領域的性別差距為 -5.6 分（SE = 6.63，p = 0.396）。同一輪次內的兩組比較位於同一次量尺連結上，故不需納入連結誤差。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閱讀：女學生與男學生之分數差</w:t>
      </w:r>
    </w:p>
    <w:p>
      <w:pPr>
        <w:pStyle w:val="centered"/>
      </w:pPr>
      <w:r>
        <w:rPr/>
        <w:drawing>
          <wp:inline distT="0" distB="0" distL="0" distR="0">
            <wp:extent cx="5733288" cy="7029011"/>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29"/>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信賴區間，淡色表示差異未達統計顯著。臺灣閱讀領域的性別差距為 +26.9 分（SE = 5.76，p = 0.000）。同一輪次內的兩組比較位於同一次量尺連結上，故不需納入連結誤差。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科學：女學生與男學生之分數差</w:t>
      </w:r>
    </w:p>
    <w:p>
      <w:pPr>
        <w:pStyle w:val="centered"/>
      </w:pPr>
      <w:r>
        <w:rPr/>
        <w:drawing>
          <wp:inline distT="0" distB="0" distL="0" distR="0">
            <wp:extent cx="5733288" cy="7029011"/>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0"/>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信賴區間，淡色表示差異未達統計顯著。臺灣科學領域的性別差距為 -3.4 分（SE = 5.83，p = 0.565）。同一輪次內的兩組比較位於同一次量尺連結上，故不需納入連結誤差。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陸、學校層級分析結果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學生嵌套於學校，成績的總變異可依全變異數分解律精確拆成兩塊：同一所學校之內的差異（校內變異），與學校平均數之間的差異（校間變異）。兩者相加恆等於總變異。校間變異占總變異的比例，即為組內相關係數（ICC），是大型評比最常引用的公平性指標之一——數值越高，代表學生成績越取決於其就讀的學校而非個人條件。</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臺灣數學的校間變異比例自 2015 年的 37.9%、2018 年的 33.8%，上升至 2022 年的 40.5%。作為對照，分流體制明顯的荷蘭為 61.9%、匈牙利 60.8%，綜合型學制的芬蘭僅 11.6%、冰島 11.8%。臺灣在 2018 年至 2022 年之間的上升幅度值得注意，顯示校際隔離加深。</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校間變異比例的跨輪次變化</w:t>
      </w:r>
    </w:p>
    <w:p>
      <w:pPr>
        <w:pStyle w:val="centered"/>
      </w:pPr>
      <w:r>
        <w:rPr/>
        <w:drawing>
          <wp:inline distT="0" distB="0" distL="0" distR="0">
            <wp:extent cx="5733288" cy="2773101"/>
            <wp:docPr id="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1"/>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縱軸為校間變異占總變異的百分比，臺灣以粗線標示。臺灣數學自 2018 年的 33.8% 升至 2022 年的 40.5%。芬蘭三輪均維持在 12% 上下，是綜合型學制的代表。分解為恆等式：校間加校內等於總變異；本研究的實作在未加權情形下已與單因子變異數分析的平方和逐項比對，差異量級為 10 的負 11 次方。</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數學：校間變異占總變異的比例</w:t>
      </w:r>
    </w:p>
    <w:p>
      <w:pPr>
        <w:pStyle w:val="centered"/>
      </w:pPr>
      <w:r>
        <w:rPr/>
        <w:drawing>
          <wp:inline distT="0" distB="0" distL="0" distR="0">
            <wp:extent cx="5733288" cy="7029011"/>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2"/>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信賴區間。臺灣數學的校間變異比例為 40.5%，全體 80 個國家與經濟體的中位數為 34.0%。數值越高，代表學生成績越取決於其就讀的學校。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閱讀：校間變異占總變異的比例</w:t>
      </w:r>
    </w:p>
    <w:p>
      <w:pPr>
        <w:pStyle w:val="centered"/>
      </w:pPr>
      <w:r>
        <w:rPr/>
        <w:drawing>
          <wp:inline distT="0" distB="0" distL="0" distR="0">
            <wp:extent cx="5733288" cy="7029011"/>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3"/>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信賴區間。臺灣閱讀的校間變異比例為 33.2%，全體 80 個國家與經濟體的中位數為 34.0%。數值越高，代表學生成績越取決於其就讀的學校。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科學：校間變異占總變異的比例</w:t>
      </w:r>
    </w:p>
    <w:p>
      <w:pPr>
        <w:pStyle w:val="centered"/>
      </w:pPr>
      <w:r>
        <w:rPr/>
        <w:drawing>
          <wp:inline distT="0" distB="0" distL="0" distR="0">
            <wp:extent cx="5733288" cy="7029011"/>
            <wp:docPr id="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4"/>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信賴區間。臺灣科學的校間變異比例為 38.1%，全體 80 個國家與經濟體的中位數為 33.4%。數值越高，代表學生成績越取決於其就讀的學校。</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校間差異本身並不必然代表不公平，關鍵在於這些差異對應到什麼。若學校之間的成績落差幾乎就是學生社經組成落差的投影，則校際差異即為社會分層在教育體系中的再現。本研究以校平均分數對校平均 ESCS 的加權迴歸（學校依其學生權重總和加權）估計此一比例。</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臺灣數學的此一比例自 2015 年的 61.3%、2018 年的 67.1%，升至 2022 年的 71.2%。亦即校際成績落差中，有超過七成對應到學生組成的社經落差，且比例仍在上升。</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數學：學校社經組成解釋的校間差異比例</w:t>
      </w:r>
    </w:p>
    <w:p>
      <w:pPr>
        <w:pStyle w:val="centered"/>
      </w:pPr>
      <w:r>
        <w:rPr/>
        <w:drawing>
          <wp:inline distT="0" distB="0" distL="0" distR="0">
            <wp:extent cx="5733288" cy="7029011"/>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5"/>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R²，學校依學生權重總和加權，使結果代表母體而非樣本學校。臺灣數學為 71.2%，全體中位數 58.4%。</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閱讀：學校社經組成解釋的校間差異比例</w:t>
      </w:r>
    </w:p>
    <w:p>
      <w:pPr>
        <w:pStyle w:val="centered"/>
      </w:pPr>
      <w:r>
        <w:rPr/>
        <w:drawing>
          <wp:inline distT="0" distB="0" distL="0" distR="0">
            <wp:extent cx="5733288" cy="7029011"/>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36"/>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R²，學校依學生權重總和加權，使結果代表母體而非樣本學校。臺灣閱讀為 65.1%，全體中位數 55.9%。</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科學：學校社經組成解釋的校間差異比例</w:t>
      </w:r>
    </w:p>
    <w:p>
      <w:pPr>
        <w:pStyle w:val="centered"/>
      </w:pPr>
      <w:r>
        <w:rPr/>
        <w:drawing>
          <wp:inline distT="0" distB="0" distL="0" distR="0">
            <wp:extent cx="5733288" cy="7029011"/>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37"/>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R²，學校依學生權重總和加權，使結果代表母體而非樣本學校。臺灣科學為 66.5%，全體中位數 56.6%。</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為釐清機制，本研究採 Mundlak 分解，將學生 ESCS 拆為兩個成分：其一為該生與同校同學的社經差距（校內成分），其二為該校的平均社經水準（校間成分）。兩者係數之差即脈絡效應，可解讀為：同一名學生若轉入社經背景較佳的學校，預期能多得幾分。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 2022 年數學的校內個人效應為每一個標準差 20.8 分，學校社經組成效應則高達 131.6 分，脈絡效應 110.8 分（SE = 6.30）。換言之，在臺灣「就讀哪一所學校」對成績的影響，約為「個人家庭背景在校內」影響的六倍。學校組成效應在全體國家中排名第三，僅次於荷蘭（157.9 分）與日本（134.3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數學：個人社經效應與學校社經組成效應</w:t>
      </w:r>
    </w:p>
    <w:p>
      <w:pPr>
        <w:pStyle w:val="centered"/>
      </w:pPr>
      <w:r>
        <w:rPr/>
        <w:drawing>
          <wp:inline distT="0" distB="0" distL="0" distR="0">
            <wp:extent cx="5733288" cy="3969199"/>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38"/>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效應，虛線為兩者相等。落在虛線上方越遠，代表「就讀哪所學校」比「個人家庭背景」更決定成績。臺灣數學的兩個係數分別為 20.8 與 131.6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閱讀：個人社經效應與學校社經組成效應</w:t>
      </w:r>
    </w:p>
    <w:p>
      <w:pPr>
        <w:pStyle w:val="centered"/>
      </w:pPr>
      <w:r>
        <w:rPr/>
        <w:drawing>
          <wp:inline distT="0" distB="0" distL="0" distR="0">
            <wp:extent cx="5733288" cy="3969199"/>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39"/>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效應，虛線為兩者相等。落在虛線上方越遠，代表「就讀哪所學校」比「個人家庭背景」更決定成績。臺灣閱讀的兩個係數分別為 17.0 與 106.1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科學：個人社經效應與學校社經組成效應</w:t>
      </w:r>
    </w:p>
    <w:p>
      <w:pPr>
        <w:pStyle w:val="centered"/>
      </w:pPr>
      <w:r>
        <w:rPr/>
        <w:drawing>
          <wp:inline distT="0" distB="0" distL="0" distR="0">
            <wp:extent cx="5733288" cy="3969199"/>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0"/>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效應，虛線為兩者相等。落在虛線上方越遠，代表「就讀哪所學校」比「個人家庭背景」更決定成績。臺灣科學的兩個係數分別為 17.0 與 113.2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數學各國學校層級指標</w:t>
      </w:r>
    </w:p>
    <w:tbl xmlns:a="http://schemas.openxmlformats.org/drawingml/2006/main" xmlns:pic="http://schemas.openxmlformats.org/drawingml/2006/picture">
      <w:tblPr>
        <w:tblLayout w:type="fixed"/>
        <w:jc w:val="start"/>
        <w:tblLook w:firstRow="1" w:lastRow="0" w:firstColumn="0" w:lastColumn="0" w:noHBand="0" w:noVBand="1"/>
      </w:tblPr>
      <w:tblGrid>
        <w:gridCol w:w="547"/>
        <w:gridCol w:w="2022"/>
        <w:gridCol w:w="1022"/>
        <w:gridCol w:w="492"/>
        <w:gridCol w:w="1022"/>
        <w:gridCol w:w="827"/>
        <w:gridCol w:w="1107"/>
        <w:gridCol w:w="827"/>
        <w:gridCol w:w="687"/>
      </w:tblGrid>
      <w:tr>
        <w:trPr>
          <w:trHeight w:val="314"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校間變異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社經解釋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校內效應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學校組成效應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脈絡效應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學校數</w:t>
            </w:r>
          </w:p>
        </w:tc>
      </w:tr>
      <w:tr>
        <w:trPr>
          <w:trHeight w:val="2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荷蘭</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147.0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瓜地馬拉</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越南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阿根廷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蒙特內哥羅</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阿爾巴尼亞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柬埔寨</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英國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966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w:t>
            </w:r>
          </w:p>
        </w:tc>
      </w:tr>
      <w:tr>
        <w:trPr>
          <w:trHeight w:val="30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芬蘭</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依校間變異比例排序。校內效應與學校組成效應為 Mundlak 分解的兩個迴歸係數，單位為每一個 ESCS 標準差對應的分數；脈絡效應為兩者之差。閱讀與科學的對應數值請見隨附之互動式平台。</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方法交叉驗證：兩種估計標的</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同一份臺灣 2022 年數學資料，本研究的設計基礎分解得校間變異比例 0.405，Mplus 的兩層隨機效果模型得 0.422（預設權重縮放）或 0.455（不縮放）。三者並非彼此矛盾，而是在估計不同的量。</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設計基礎分解回答的是描述性問題：在全體 15 歲學生的成績變異中，有多少比例落在學校之間。它使用完整抽樣權重，且校間與校內恆等相加為總變異。模型基礎的變異成分則是階層模型中的潛在參數，其總和不必等於觀測變異，且會隨權重縮放方式改變——三者的總變異數本身即不相同（12,413、13,118、13,580），此即差異不在計算而在估計標的的直接證據。</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迴歸係數的一致性則高得多：Mundlak 分解在本研究得校內效應 20.8、學校組成效應 131.6；Mplus 兩層模型得 19.9 與 125.0，差異來自 Mplus 僅使用單一個推估值且校層採隨機效果設定。Mplus 空模型的校間殘差變異自 5,537 降至 1,485，即學校社經組成解釋 73.2% 的校間變異；本研究的加權 R² 對同一問題給出 71.2%。兩條獨立路徑收斂至同一結論。</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柒、選考領域與數學分測驗結果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2022 除核心三領域外，另有創造思考與財金素養兩個選考領域，以及數學的八個分測驗（內容向度四項、歷程向度四項）。這些資料與核心領域同時發布，惟使用率遠低於核心領域。</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臺灣參加創造思考評量，得分 32.6（SE = 0.39），在 63 個參與經濟體中排名第 16。同一年臺灣數學排名第 3。名次落差最大的三個體制為澳門（差 19 名）、香港（18 名）與臺灣（13 名）；韓國僅差 4 名、新加坡兩項皆為第 1，可見此一落差並非東亞的共同現象，而是特定體制的特徵。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數學表現與創造思考表現的對照</w:t>
      </w:r>
    </w:p>
    <w:p>
      <w:pPr>
        <w:pStyle w:val="centered"/>
      </w:pPr>
      <w:r>
        <w:rPr/>
        <w:drawing>
          <wp:inline distT="0" distB="0" distL="0" distR="0">
            <wp:extent cx="5733288" cy="3969199"/>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1"/>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 PISA 2022 數學平均分數，縱軸為創造思考分數（0 至 60 分量尺），虛線為線性趨勢。落在趨勢線下方，代表創造思考低於同等數學水準所預期的表現。此結果對強調解題訓練的課程體制具政策意涵。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創造思考：各國平均與 95% 信賴區間</w:t>
      </w:r>
    </w:p>
    <w:p>
      <w:pPr>
        <w:pStyle w:val="centered"/>
      </w:pPr>
      <w:r>
        <w:rPr/>
        <w:drawing>
          <wp:inline distT="0" distB="0" distL="0" distR="0">
            <wp:extent cx="5733288" cy="6115507"/>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2"/>
                    <a:stretch>
                      <a:fillRect/>
                    </a:stretch>
                  </pic:blipFill>
                  <pic:spPr bwMode="auto">
                    <a:xfrm>
                      <a:off x="0" y="0"/>
                      <a:ext cx="5733288" cy="611550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共 63 個國家與經濟體參加。須特別說明資料處理上的一項陷阱：創造思考的認知檔本身不含抽樣權重，權重存放於主學生檔，必須以學生編號併回後方能進行加權估計；直接以認知檔計算會得到未加權的結果。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數學分測驗方面，臺灣八個向度的分數介於 546.1 至 551.4 分之間，全距僅 5.3 分，輪廓異常平坦，並無明顯的相對強項或弱項。此一結果與部分國家在特定向度上有顯著優勢的形態不同。</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數學分測驗的相對強弱</w:t>
      </w:r>
    </w:p>
    <w:p>
      <w:pPr>
        <w:pStyle w:val="centered"/>
      </w:pPr>
      <w:r>
        <w:rPr/>
        <w:drawing>
          <wp:inline distT="0" distB="0" distL="0" distR="0">
            <wp:extent cx="5733288" cy="4224528"/>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43"/>
                    <a:stretch>
                      <a:fillRect/>
                    </a:stretch>
                  </pic:blipFill>
                  <pic:spPr bwMode="auto">
                    <a:xfrm>
                      <a:off x="0" y="0"/>
                      <a:ext cx="5733288" cy="422452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分測驗分數減去該國整體數學分數，正值代表相對強項。內容向度包含變化與關係、數量、空間與形狀、不確定性與資料；歷程向度包含形成、應用、詮釋、推理。四個採紙筆施測的國家不產出分測驗分數，屬測驗設計使然而非資料缺漏。</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財金素養：各國平均與 95% 信賴區間</w:t>
      </w:r>
    </w:p>
    <w:p>
      <w:pPr>
        <w:pStyle w:val="centered"/>
      </w:pPr>
      <w:r>
        <w:rPr/>
        <w:drawing>
          <wp:inline distT="0" distB="0" distL="0" distR="0">
            <wp:extent cx="5733288" cy="3822192"/>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44"/>
                    <a:stretch>
                      <a:fillRect/>
                    </a:stretch>
                  </pic:blipFill>
                  <pic:spPr bwMode="auto">
                    <a:xfrm>
                      <a:off x="0" y="0"/>
                      <a:ext cx="5733288" cy="3822192"/>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僅 20 個國家與經濟體參加此選考領域，臺灣未參加。資料處理上須注意：該領域的壓縮檔內含三個資料檔，惟僅問卷檔含推估值與權重，試題檔與作答時間檔皆無。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創造思考與數學表現對照</w:t>
      </w:r>
    </w:p>
    <w:tbl xmlns:a="http://schemas.openxmlformats.org/drawingml/2006/main" xmlns:pic="http://schemas.openxmlformats.org/drawingml/2006/picture">
      <w:tblPr>
        <w:tblLayout w:type="fixed"/>
        <w:jc w:val="start"/>
        <w:tblLook w:firstRow="1" w:lastRow="0" w:firstColumn="0" w:lastColumn="0" w:noHBand="0" w:noVBand="1"/>
      </w:tblPr>
      <w:tblGrid>
        <w:gridCol w:w="2361"/>
        <w:gridCol w:w="1033"/>
        <w:gridCol w:w="1033"/>
        <w:gridCol w:w="861"/>
        <w:gridCol w:w="1033"/>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創造思考</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名次落差</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荷蘭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阿爾巴尼亞</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368.2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依創造思考分數排序。名次落差為創造思考名次減數學名次，正值代表創造思考的相對表現落後於數學。創造思考採 0 至 60 分量尺，與數學的 PISA 量尺不同，不可直接比較分數，僅能比較相對位置。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捌、IEA 系列評比結果與跨評比對照</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為避免單一評比的結論受其測驗取向影響，本研究另納入國際教育成就評鑑協會（IEA）主辦的國際數學與科學教育成就趨勢調查（TIMSS）2023 年八年級資料，共 47 個國家與經濟體、323,920 名學生。TIMSS 測量的是各國課程實際教授的內容，PISA 測量的是將知識應用於真實情境的能力，兩者評量的並非同一構念。</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一、TIMSS 與 PISA 的設計差異</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兩套評比的抽樣與計分設計不同，直接沿用 PISA 的分析程式雖不會產生錯誤訊息，卻會得到錯誤的標準誤。主要差異有三：其一，TIMSS 每個量尺提供 5 個合理推估值，PISA 為 10 個；其二，TIMSS 的變異數以 JK2 折刀法估計，依 JKZONE 與 JKREP 兩欄即時建構重複權重，PISA 則使用 Fay 平衡重複半樣本法搭配 80 組現成的重複權重；其三，權重欄位名稱不同。</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JK2 的作法為：將學校在每個折刀區內兩兩配對，對第 h 區產生一組重複權重——該區中 JKREP 為 1 者權重加倍、為 0 者歸零，其餘各區維持原權重；變異數為各區估計值與全樣本估計值離差平方和。此處不含 Fay 法的縮放係數，因加倍與歸零本身已內含縮放。</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本研究為此另行撰寫估計核心，並以獨立實作交叉驗證：臺灣八年級數學平均 602.430，標準誤 3.074（抽樣成分 2.758、推估成分 1.359，93 組重複權重），兩者逐位數一致。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七個大型教育資料庫的設計比較</w:t>
      </w:r>
    </w:p>
    <w:tbl xmlns:a="http://schemas.openxmlformats.org/drawingml/2006/main" xmlns:pic="http://schemas.openxmlformats.org/drawingml/2006/picture">
      <w:tblPr>
        <w:tblLayout w:type="fixed"/>
        <w:jc w:val="start"/>
        <w:tblLook w:firstRow="1" w:lastRow="0" w:firstColumn="0" w:lastColumn="0" w:noHBand="0" w:noVBand="1"/>
      </w:tblPr>
      <w:tblGrid>
        <w:gridCol w:w="1700"/>
        <w:gridCol w:w="1466"/>
        <w:gridCol w:w="1500"/>
        <w:gridCol w:w="1033"/>
        <w:gridCol w:w="1978"/>
        <w:gridCol w:w="1188"/>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資料庫</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設計</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對象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推估值</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變異數估計</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取得方式</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 歲學生</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 個</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Fay BRR（80 組）</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四與八年級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PIRLS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四年級閱讀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ICCS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八年級公民</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需接受授權</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教師與校長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Fay BRR（100 組）</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國中小各年級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依年份</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依技術報告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需申請</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TEPS／TEPS-B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追蹤（panel）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同一批學生多波</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多波測量</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追蹤樣本權重</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需申請</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TIMSS、PIRLS 與 ICCS 同屬 IEA 系列，設計一致故可共用估計核心；TALIS 為教師與校長調查，不測學生能力因而沒有合理推估值，其 Fay 係數為本研究自資料判定（重複權重與最終權重的比值集中於 0.5 與 1.5）。TEPS 為其中唯一的追蹤設計，自 2001 年起追蹤同一批學生，因此也是唯一能進行個人成長軌跡、交叉延宕模型與個體固定效果分析的資料庫。PISA 與 TIMSS 皆為重複橫斷設計，每輪抽取不同學生，僅能進行群體層次的趨勢比較。</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二、TIMSS 2023 八年級結果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臺灣八年級數學平均 602.4 分（SE = 3.07），在 47 個參與經濟體中排名第 2，僅次於新加坡的 605.3 分；科學平均 571.8 分（SE = 2.40），同樣排名第 2。</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八年級數學：各國平均與 95% 信賴區間</w:t>
      </w:r>
    </w:p>
    <w:p>
      <w:pPr>
        <w:pStyle w:val="centered"/>
      </w:pPr>
      <w:r>
        <w:rPr/>
        <w:drawing>
          <wp:inline distT="0" distB="0" distL="0" distR="0">
            <wp:extent cx="5733288" cy="5733288"/>
            <wp:docPr id="7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45"/>
                    <a:stretch>
                      <a:fillRect/>
                    </a:stretch>
                  </pic:blipFill>
                  <pic:spPr bwMode="auto">
                    <a:xfrm>
                      <a:off x="0" y="0"/>
                      <a:ext cx="5733288" cy="573328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以 5 個合理推估值搭配 JK2 折刀法估計，虛線為四個國際基準點（400、475、550、625 分）。臺灣數學平均 602.4 分（SE = 3.07），排名第 2。</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八年級科學：各國平均與 95% 信賴區間</w:t>
      </w:r>
    </w:p>
    <w:p>
      <w:pPr>
        <w:pStyle w:val="centered"/>
      </w:pPr>
      <w:r>
        <w:rPr/>
        <w:drawing>
          <wp:inline distT="0" distB="0" distL="0" distR="0">
            <wp:extent cx="5733288" cy="5733288"/>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46"/>
                    <a:stretch>
                      <a:fillRect/>
                    </a:stretch>
                  </pic:blipFill>
                  <pic:spPr bwMode="auto">
                    <a:xfrm>
                      <a:off x="0" y="0"/>
                      <a:ext cx="5733288" cy="573328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以 5 個合理推估值搭配 JK2 折刀法估計，虛線為四個國際基準點（400、475、550、625 分）。臺灣科學平均 571.8 分（SE = 2.40），排名第 2。</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以國際基準點觀之，臺灣八年級學生達數學低標（400 分）者占 97.1%、中標（475 分）88.8%、高標（550 分）72.2%、高階（625 分）44.4%。達高階基準的比率在全體經濟體中排名第二，僅次於新加坡的 46.3%。科學的對應比率分別為 95.9%、84.9%、62.3% 與 29.7%。</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八年級數學：達各國際基準的學生比率</w:t>
      </w:r>
    </w:p>
    <w:p>
      <w:pPr>
        <w:pStyle w:val="centered"/>
      </w:pPr>
      <w:r>
        <w:rPr/>
        <w:drawing>
          <wp:inline distT="0" distB="0" distL="0" distR="0">
            <wp:extent cx="5733288" cy="5512777"/>
            <wp:docPr id="8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47"/>
                    <a:stretch>
                      <a:fillRect/>
                    </a:stretch>
                  </pic:blipFill>
                  <pic:spPr bwMode="auto">
                    <a:xfrm>
                      <a:off x="0" y="0"/>
                      <a:ext cx="5733288" cy="551277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四個基準為巢狀關係，達高階者必然亦達其餘三標，故長條相互覆蓋而非堆疊。依達高階基準的比率排序。臺灣數學達高階基準者占 44.4%。</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八年級科學：達各國際基準的學生比率</w:t>
      </w:r>
    </w:p>
    <w:p>
      <w:pPr>
        <w:pStyle w:val="centered"/>
      </w:pPr>
      <w:r>
        <w:rPr/>
        <w:drawing>
          <wp:inline distT="0" distB="0" distL="0" distR="0">
            <wp:extent cx="5733288" cy="5512777"/>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48"/>
                    <a:stretch>
                      <a:fillRect/>
                    </a:stretch>
                  </pic:blipFill>
                  <pic:spPr bwMode="auto">
                    <a:xfrm>
                      <a:off x="0" y="0"/>
                      <a:ext cx="5733288" cy="551277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四個基準為巢狀關係，達高階者必然亦達其餘三標，故長條相互覆蓋而非堆疊。依達高階基準的比率排序。臺灣科學達高階基準者占 29.7%。</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與 TIMSS 2023 數學表現的對照</w:t>
      </w:r>
    </w:p>
    <w:p>
      <w:pPr>
        <w:pStyle w:val="centered"/>
      </w:pPr>
      <w:r>
        <w:rPr/>
        <w:drawing>
          <wp:inline distT="0" distB="0" distL="0" distR="0">
            <wp:extent cx="5733288" cy="3969199"/>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49"/>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 PISA 2022 數學（15 歲，應用素養），縱軸為 TIMSS 2023 八年級數學（課程本位），虛線為線性趨勢。共 36 個同時參加兩項評比的經濟體，兩者相關係數為 0.948。兩套量尺不同，不可直接相減，此圖呈現的是相對位置。臺灣在兩項評比中均居前列，與創造思考的第 16 名形成對比。</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三、TIMSS 2023 四年級與 PIRLS 2021</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為避免結論受單一年級或單一學科取向影響，本研究另納入 TIMSS 2023 四年級（63 個經濟體、395,961 名學生）與 PIRLS 2021 四年級閱讀（65 個經濟體、367,575 名學生）。三套 IEA 評比的抽樣與計分設計相同，均為 5 個合理推估值搭配 JK2 折刀法，故可共用同一估計核心。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臺灣四年級數學平均 607.0 分排名第 2、科學 572.6 分排名第 3，表現與八年級一致。惟四年級閱讀（PIRLS）平均 543.8 分（SE = 2.15）僅排名第 15，與數理科目的排名形成明顯落差。須特別說明，TIMSS 四年級與八年級為獨立抽取的樣本，並非同一批學生的追蹤，兩者分數之差不可解讀為成長。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臺灣在九項國際評比中的相對位置</w:t>
      </w:r>
    </w:p>
    <w:p>
      <w:pPr>
        <w:pStyle w:val="centered"/>
      </w:pPr>
      <w:r>
        <w:rPr/>
        <w:drawing>
          <wp:inline distT="0" distB="0" distL="0" distR="0">
            <wp:extent cx="5733288" cy="3642324"/>
            <wp:docPr id="8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50"/>
                    <a:stretch>
                      <a:fillRect/>
                    </a:stretch>
                  </pic:blipFill>
                  <pic:spPr bwMode="auto">
                    <a:xfrm>
                      <a:off x="0" y="0"/>
                      <a:ext cx="5733288" cy="364232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各評比參與國數不同，故以百分位表示相對位置，100% 代表第 1 名。臺灣在數學與科學各項均在 96 百分位以上，惟四年級閱讀落在 78.5、創造思考 76.2。此一落差並非量測誤差，而是穩定出現於不同評比、不同年齡與不同主辦單位的一致形態，具政策意涵。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四年級數學：各國平均與 95% 信賴區間</w:t>
      </w:r>
    </w:p>
    <w:p>
      <w:pPr>
        <w:pStyle w:val="centered"/>
      </w:pPr>
      <w:r>
        <w:rPr/>
        <w:drawing>
          <wp:inline distT="0" distB="0" distL="0" distR="0">
            <wp:extent cx="5733288" cy="6497726"/>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51"/>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臺灣四年級數學平均 607.0 分（SE = 1.74），排名第 2。虛線為四個國際基準點。四年級與八年級為獨立樣本，不可解讀為同一批學生的成長。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四年級科學：各國平均與 95% 信賴區間</w:t>
      </w:r>
    </w:p>
    <w:p>
      <w:pPr>
        <w:pStyle w:val="centered"/>
      </w:pPr>
      <w:r>
        <w:rPr/>
        <w:drawing>
          <wp:inline distT="0" distB="0" distL="0" distR="0">
            <wp:extent cx="5733288" cy="6497726"/>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52"/>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臺灣四年級科學平均 572.6 分（SE = 1.74），排名第 3。虛線為四個國際基準點。四年級與八年級為獨立樣本，不可解讀為同一批學生的成長。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PIRLS 2021 四年級閱讀：各國平均與 95% 信賴區間</w:t>
      </w:r>
    </w:p>
    <w:p>
      <w:pPr>
        <w:pStyle w:val="centered"/>
      </w:pPr>
      <w:r>
        <w:rPr/>
        <w:drawing>
          <wp:inline distT="0" distB="0" distL="0" distR="0">
            <wp:extent cx="5733288" cy="6497726"/>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53"/>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臺灣平均 543.8 分（SE = 2.15），在 65 個參與者中排名第 15。部分參與者為次國家層級的標竿實體，如莫斯科市、加拿大各省與比利時語區。本研究採數位施測（digitalPIRLS）的主樣本；紙筆檔為橋接研究，用於連結歷年趨勢，未納入本次估計。</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PIRLS 2021 閱讀分測驗的相對強弱</w:t>
      </w:r>
    </w:p>
    <w:p>
      <w:pPr>
        <w:pStyle w:val="centered"/>
      </w:pPr>
      <w:r>
        <w:rPr/>
        <w:drawing>
          <wp:inline distT="0" distB="0" distL="0" distR="0">
            <wp:extent cx="5733288" cy="4224528"/>
            <wp:docPr id="9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54"/>
                    <a:stretch>
                      <a:fillRect/>
                    </a:stretch>
                  </pic:blipFill>
                  <pic:spPr bwMode="auto">
                    <a:xfrm>
                      <a:off x="0" y="0"/>
                      <a:ext cx="5733288" cy="422452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各分測驗分數減去該國整體閱讀分數，正值代表相對強項。臺灣四年級學生在「獲取資訊」相對強（+5.6 分），在「文學經驗」相對弱（-10.8 分）。此一形態與 PISA 創造思考的相對落後，可能指向同一個課程面向。</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四、ICCS 2022 公民知識</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國際公民教育與素養調查（ICCS）由 IEA 主辦，測量八年級學生的公民與公民素養知識。2022 年共 24 個參與者、82,321 名學生，其抽樣與計分設計與 TIMSS 及 PIRLS 相同，可共用同一估計核心。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臺灣公民知識平均 583.1 分（SE = 2.30），在 24 個參與者中排名第 1，領先第二名瑞典 18.4 分。這是臺灣在本研究涵蓋的十項國際評比中相對位置最高的一項，與創造思考的第 16 名形成強烈對比。</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ICCS 2022 公民知識：各參與者平均與 95% 信賴區間</w:t>
      </w:r>
    </w:p>
    <w:p>
      <w:pPr>
        <w:pStyle w:val="centered"/>
      </w:pPr>
      <w:r>
        <w:rPr/>
        <w:drawing>
          <wp:inline distT="0" distB="0" distL="0" distR="0">
            <wp:extent cx="5733288" cy="4410222"/>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55"/>
                    <a:stretch>
                      <a:fillRect/>
                    </a:stretch>
                  </pic:blipFill>
                  <pic:spPr bwMode="auto">
                    <a:xfrm>
                      <a:off x="0" y="0"/>
                      <a:ext cx="5733288" cy="4410222"/>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 583.1 分（SE = 2.30）居首。參與者中包含德國的兩個邦（什列斯威－霍爾斯坦、北萊茵－西發利亞），屬次國家層級的參與實體。折刀區數依各參與者的抽樣設計而異，介於 15 至 75 之間。</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臺灣在九項國際評比中的相對位置</w:t>
      </w:r>
    </w:p>
    <w:tbl xmlns:a="http://schemas.openxmlformats.org/drawingml/2006/main" xmlns:pic="http://schemas.openxmlformats.org/drawingml/2006/picture">
      <w:tblPr>
        <w:tblLayout w:type="fixed"/>
        <w:jc w:val="start"/>
        <w:tblLook w:firstRow="1" w:lastRow="0" w:firstColumn="0" w:lastColumn="0" w:noHBand="0" w:noVBand="1"/>
      </w:tblPr>
      <w:tblGrid>
        <w:gridCol w:w="1828"/>
        <w:gridCol w:w="722"/>
        <w:gridCol w:w="1033"/>
        <w:gridCol w:w="1094"/>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評比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參與者數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百分位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類別</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ICCS 公民知識</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公民</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四年級數學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八年級數學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八年級科學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四年級科學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PIRLS 四年級閱讀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創造思考</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76.2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創造思考</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百分位以 100 乘以（1 減去（名次減 1）除以參與者數）計算，100% 代表第 1 名。各評比的量尺、施測年齡與主辦單位不同，分數不可直接比較，此表僅比較相對位置。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八年級各國估計值</w:t>
      </w:r>
    </w:p>
    <w:tbl xmlns:a="http://schemas.openxmlformats.org/drawingml/2006/main" xmlns:pic="http://schemas.openxmlformats.org/drawingml/2006/picture">
      <w:tblPr>
        <w:tblLayout w:type="fixed"/>
        <w:jc w:val="start"/>
        <w:tblLook w:firstRow="1" w:lastRow="0" w:firstColumn="0" w:lastColumn="0" w:noHBand="0" w:noVBand="1"/>
      </w:tblPr>
      <w:tblGrid>
        <w:gridCol w:w="722"/>
        <w:gridCol w:w="1344"/>
        <w:gridCol w:w="861"/>
        <w:gridCol w:w="761"/>
        <w:gridCol w:w="938"/>
        <w:gridCol w:w="861"/>
        <w:gridCol w:w="1033"/>
        <w:gridCol w:w="9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高階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樣本數</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605.3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4,772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5,543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4,257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4,463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阿布達比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8,164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英格蘭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5,090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8,110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5,082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5,421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4,639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8,442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4,925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5,880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6,324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4,591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3,994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3,722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6,385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賽普勒斯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4,200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32,740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8,074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5,198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3,930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4,511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6,174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5,414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4,872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6,362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杜拜</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12,109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5,168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伊朗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6,226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4,339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4,478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8,226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8,780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科威特</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4,332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5,882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南非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11,940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6,962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6,532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22,770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8,745</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象牙海岸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8,284</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依數學平均分數排序。高階欄為達 625 分國際基準的加權學生比率。標準誤以 5 個合理推估值搭配 JK2 折刀法估計，折刀區數依各國抽樣設計而異，介於 50 至 125 之間。</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玖、結論與研究限制</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一、主要發現</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第一，臺灣學生在兩套國際評比中均居前列，惟兩者測量的構念不同。PISA 2022 數學排名第 3、科學第 4、閱讀第 5；TIMSS 2023 八年級數學與科學均排名第 2。前者測應用素養，後者測課程本位的學習成果，兩項評比在 36 個共同參與的經濟體間相關達 0.948，臺灣在兩者皆表現優異，顯示課程實施與素養轉化均有成效。</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第二，創造思考是明顯的例外。臺灣創造思考在 63 個經濟體中排名第 16，與數學的第 3 名落差 13 個名次。名次落差最大的三個體制為澳門、香港與臺灣，而韓國僅差 4 名、新加坡兩項皆為第 1，可見此非東亞的共同現象。此結果指向特定課程與評量取向的影響，值得政策層面關注。</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第三，成績提升伴隨分配擴大而非整體平移。臺灣數學未達基礎水準者的比率自 2018 年的 13.98% 上升至 2022 年的 14.61%，同期達高表現水準者自 23.19% 上升至 31.73%，兩端同時擴張。</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第四，教育機會的分化同時出現在個人與學校兩個層次。個人層次上，社經梯度自 2018 年的 38.1 分升至 2022 年的 49.3 分（每一個 ESCS 標準差），高於全體中位數 33.3 分。學校層次上，校間變異比例自 33.8% 升至 40.5%，且校間差異中有 71.2% 對應到學生組成的社經落差，較 2015 年的 61.3% 為高。</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第五，Mundlak 分解顯示分化的主要載體是學校而非家庭。臺灣的校內個人社經效應為每一個標準差 20.8 分，學校社經組成效應則達 131.6 分，脈絡效應 110.8 分（SE = 6.30）。就讀哪一所學校對成績的影響約為個人家庭背景在校內影響的六倍，學校組成效應在全體國家中排名第三。此結果指出，若政策目標為縮小成就落差，介入點應在學校之間的資源與生源分布，而非僅止於個別學生的補救。</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第六，跨五套評比十個項目的相對位置呈現一致形態。臺灣公民知識居 24 個參與者之首（百分位 100.0），數學與科學各項均在 96 百分位以上，惟 PIRLS 四年級閱讀落在 78.5 百分位、PISA 創造思考 76.2 百分位。此一落差跨越不同年齡、不同主辦單位與不同測驗取向而穩定存在，難以歸因於單一評比的特性，指向課程與評量重心的結構性議題：臺灣學生在有明確知識結構與標準答案的領域表現卓越，在開放性與詮釋性任務上的相對位置則明顯較低。</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二、方法學上的提醒</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第一，跨輪次比較必須納入連結誤差。本研究實證顯示，在全部 396 組跨輪次比較中，有 16 組於忽略連結誤差時會得到錯誤的顯著性結論，標準誤最多被低估至 2.44 倍。</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第二，加權與否對結果的影響遠大於一般預期。以 PISA 2022 數學為例，80 個國家與經濟體的加權與未加權平均差異中位數為 2.07 分，最大達 20.60 分。臺灣為正向差異最大者：未加權 534.02 分，加權後 547.13 分，相差 13.11 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第三，不同資料庫不可共用同一套分析程式。TIMSS 與 PIRLS 使用 5 個合理推估值與 JK2 折刀法，PISA 使用 10 個推估值與 Fay 平衡重複半樣本法。將 PISA 的程式直接套用於 IEA 系列評比不會產生錯誤訊息，但標準誤是錯的。本研究為此另行撰寫估計核心，並以獨立實作逐位數驗證；TIMSS 與 PIRLS 因設計相同，可共用同一核心。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第四，設計基礎分解與模型基礎的變異成分是不同的估計標的，不宜互相取代或視為驗證失敗。本研究對同一份資料所得的 0.405 與 0.422、0.455，差異來自估計標的與權重縮放方式，三者的總變異數本身即不相同。研究報告宜明確交代所採用的定義。</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三、研究限制</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第一，PISA 與 TIMSS 均屬重複橫斷設計而非追蹤設計。每一輪抽取的是不同學生，並無任何學生被重複測量。因此本研究的所有趨勢結果均為群體層次的比較，不得詮釋為個別學生的成長軌跡，亦不適用潛在成長模型、交叉延宕模型或個體層次的固定效果模型。若研究問題必須探討個人成長，須改用具追蹤設計的資料，如臺灣教育長期追蹤資料庫（TEPS、TEPS-B）。</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第二，跨輪次可比性有其上限。各領域最早僅能回溯至其首次成為主測領域的輪次：閱讀為 2000 年、數學為 2003 年、科學為 2006 年。此外，PISA 自 2015 年起主要改採電腦施測，跨越該年的比較其不確定性本質上高於其後各輪之間的比較。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第三，ESCS 指標於 2022 年重新校準，各輪原始 ESCS 不可直接比較。本研究涉及社經地位的跨輪分析已改用 OECD 發布之 trend ESCS，惟該檔僅涵蓋 2012、2015 與 2018 三輪，故社經地位的可比區間較成績趨勢為窄。</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第四，PISA 2022 的施測期間橫跨 COVID-19 疫情，部分國家延後施測或調整樣本。詮釋 2018 年至 2022 年的變化時，教育政策效果與疫情衝擊難以分離。</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第五，PISA 2012 年以前的輪次未納入。OECD 於 2024 年改版官方網站，舊有檔案網址失效，新頁面啟用人機驗證機制，無法以程式自動取得。此部分需以人工方式下載，且提供的是 ASCII 定寬檔配合統計軟體讀取語法，而非現成的資料檔。</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第六，臺灣本土大型資料庫尚未納入。TASA 與 TEPS 均需經申請程序方能取得，本研究已完成接入流程的建置，惟資料到位前無法進行實際分析。TEPS 為其中唯一的追蹤設計，若能納入，將可補足本研究在個人成長軌跡上的空缺。</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參考文獻</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(2023). PISA 2022 results (Volume I): The state of learning and equity in education. OECD Publishing. https://doi.org/10.1787/53f23881-en</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(2024). PISA 2022 technical report. OECD Publishing. https://doi.org/10.1787/01820d6d-en</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(2009). PISA data analysis manual: SPSS (2nd ed.). OECD Publishing.</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Mullis, I. V. S., von Davier, M., Foy, P., Fishbein, B., Reynolds, K. A., &amp; Wry, E. (2023). TIMSS 2023 international results in mathematics and science.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von Davier, M., Kennedy, A., Reynolds, K., Fishbein, B., Khorramdel, L., Aldrich, C., Bookbinder, A., Bezirhan, U., &amp; Yin, L. (2024). TIMSS 2023 technical report.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Mundlak, Y. (1978). On the pooling of time series and cross section data. Econometrica, 46(1), 69-85.</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Mullis, I. V. S., von Davier, M., Foy, P., Fishbein, B., Reynolds, K. A., &amp; Wry, E. (2023). PIRLS 2021 international results in reading.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Schulz, W., Ainley, J., Fraillon, J., Losito, B., Agrusti, G., Damiani, V., &amp; Friedman, T. (2024). Education for citizenship in times of global challenge: IEA International Civic and Citizenship Education Study 2022 international report. IEA.</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Rubin, D. B. (1987). Multiple imputation for nonresponse in surveys. John Wiley &amp; Sons.</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Judkins, D. R. (1990). Fay's method for variance estimation. Journal of Official Statistics, 6(3), 223–239.</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Wolter, K. M. (2007). Introduction to variance estimation (2nd ed.). Springer.</w:t>
      </w:r>
    </w:p>
    <w:sectPr>
      <w:pgMar w:header="720" w:bottom="1440" w:top="1440" w:right="1440" w:left="1440" w:footer="720"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dde4bdd40347d82d99ae1f141d526b49d9c0d7d.png"/>
<Relationship Id="rId8" Type="http://schemas.openxmlformats.org/officeDocument/2006/relationships/image" Target="media/ba7005b08c78aa41fadb09ba9437a5025a2f1920.png"/>
<Relationship Id="rId9" Type="http://schemas.openxmlformats.org/officeDocument/2006/relationships/image" Target="media/92a170d846c91b7d7d2174d05831032cb8bcf271.png"/>
<Relationship Id="rId10" Type="http://schemas.openxmlformats.org/officeDocument/2006/relationships/image" Target="media/f260962db2e2eff94a541aef647cb3ab356ee8aa.png"/>
<Relationship Id="rId11" Type="http://schemas.openxmlformats.org/officeDocument/2006/relationships/image" Target="media/b5f5e1863fbb569c98e69ff38e5563ad8c3d0518.png"/>
<Relationship Id="rId12" Type="http://schemas.openxmlformats.org/officeDocument/2006/relationships/image" Target="media/e6634984d79ffbb997df4f50d8973b9f3f4d44c4.png"/>
<Relationship Id="rId13" Type="http://schemas.openxmlformats.org/officeDocument/2006/relationships/image" Target="media/e70488c7ad2fd27185130e55e75be9cb933214b7.png"/>
<Relationship Id="rId14" Type="http://schemas.openxmlformats.org/officeDocument/2006/relationships/image" Target="media/6a11165bc845e20582910eeb5b0e387eaf032d27.png"/>
<Relationship Id="rId15" Type="http://schemas.openxmlformats.org/officeDocument/2006/relationships/image" Target="media/5be5acaf1cf887ad71b90e0d087fe6a6103a5218.png"/>
<Relationship Id="rId16" Type="http://schemas.openxmlformats.org/officeDocument/2006/relationships/image" Target="media/f8c0a78384dbd4af1c64d670aa735bd54ceed144.png"/>
<Relationship Id="rId17" Type="http://schemas.openxmlformats.org/officeDocument/2006/relationships/image" Target="media/91c682b3566179d89a81a8d31b384619c724b147.png"/>
<Relationship Id="rId18" Type="http://schemas.openxmlformats.org/officeDocument/2006/relationships/image" Target="media/6207eb95f5459d869184a60253982e40ba17ce4a.png"/>
<Relationship Id="rId19" Type="http://schemas.openxmlformats.org/officeDocument/2006/relationships/image" Target="media/bdb3d22544508b2602a116a321761701d131f7c9.png"/>
<Relationship Id="rId20" Type="http://schemas.openxmlformats.org/officeDocument/2006/relationships/image" Target="media/9025e99a3432b2c247c6bb2bdac21352b7f365bb.png"/>
<Relationship Id="rId21" Type="http://schemas.openxmlformats.org/officeDocument/2006/relationships/image" Target="media/4a150234e825e07baf45b438686cfea862114c3d.png"/>
<Relationship Id="rId22" Type="http://schemas.openxmlformats.org/officeDocument/2006/relationships/image" Target="media/a5b1901327a16c2a19341d31f38847285e4dfc88.png"/>
<Relationship Id="rId23" Type="http://schemas.openxmlformats.org/officeDocument/2006/relationships/image" Target="media/0e0cc3f56c6b7603be6566a30890e0b4e3fbdeff.png"/>
<Relationship Id="rId24" Type="http://schemas.openxmlformats.org/officeDocument/2006/relationships/image" Target="media/ee6e90392443cfe0b897e86255e17191d6dee074.png"/>
<Relationship Id="rId25" Type="http://schemas.openxmlformats.org/officeDocument/2006/relationships/image" Target="media/dad986fd286bc1309f69ff2cde7fac92d77a6114.png"/>
<Relationship Id="rId26" Type="http://schemas.openxmlformats.org/officeDocument/2006/relationships/image" Target="media/edb7162374cd2a0fedd420e5ed7817f0af947f0d.png"/>
<Relationship Id="rId27" Type="http://schemas.openxmlformats.org/officeDocument/2006/relationships/image" Target="media/c8b5fea47566fe780a4b96ac76713bcbf7616a8f.png"/>
<Relationship Id="rId28" Type="http://schemas.openxmlformats.org/officeDocument/2006/relationships/image" Target="media/50b1c59dea6704383c5fd68e64e0d68e97aaa649.png"/>
<Relationship Id="rId29" Type="http://schemas.openxmlformats.org/officeDocument/2006/relationships/image" Target="media/7ccab230e7442d05ec7316b5677e31f873501670.png"/>
<Relationship Id="rId30" Type="http://schemas.openxmlformats.org/officeDocument/2006/relationships/image" Target="media/690a3d908d349d6c7c87ccaf3b5b5eeeb1b955da.png"/>
<Relationship Id="rId31" Type="http://schemas.openxmlformats.org/officeDocument/2006/relationships/image" Target="media/d80d6815e472fa68f68931519f0c52821f0cb2c5.png"/>
<Relationship Id="rId32" Type="http://schemas.openxmlformats.org/officeDocument/2006/relationships/image" Target="media/86a3be0bec2d5abf4f2f029e81a586958447e5d5.png"/>
<Relationship Id="rId33" Type="http://schemas.openxmlformats.org/officeDocument/2006/relationships/image" Target="media/09c71d3960e938d33e53c2271513ceb9d0ed3f53.png"/>
<Relationship Id="rId34" Type="http://schemas.openxmlformats.org/officeDocument/2006/relationships/image" Target="media/ba4831e14c6d33c9db81079ee0b27a6270a5f834.png"/>
<Relationship Id="rId35" Type="http://schemas.openxmlformats.org/officeDocument/2006/relationships/image" Target="media/962e2c987a9e7ece80c07324a8b85574f46d1186.png"/>
<Relationship Id="rId36" Type="http://schemas.openxmlformats.org/officeDocument/2006/relationships/image" Target="media/34253c3586b6baa3ff040f5f0e7743122f34854a.png"/>
<Relationship Id="rId37" Type="http://schemas.openxmlformats.org/officeDocument/2006/relationships/image" Target="media/2b986257d5885b2d1b39bd487324f5b21d56f272.png"/>
<Relationship Id="rId38" Type="http://schemas.openxmlformats.org/officeDocument/2006/relationships/image" Target="media/10da8303d384993889209d842d55ae36d1d6498a.png"/>
<Relationship Id="rId39" Type="http://schemas.openxmlformats.org/officeDocument/2006/relationships/image" Target="media/50131adde7d41b0b52c37aeaaa34991b44646255.png"/>
<Relationship Id="rId40" Type="http://schemas.openxmlformats.org/officeDocument/2006/relationships/image" Target="media/a502113f8793999305128f99b8ff3926721addca.png"/>
<Relationship Id="rId41" Type="http://schemas.openxmlformats.org/officeDocument/2006/relationships/image" Target="media/55abe45790a5c06f1c5563d3f18bcce686495545.png"/>
<Relationship Id="rId42" Type="http://schemas.openxmlformats.org/officeDocument/2006/relationships/image" Target="media/0d1679c60d27e1735ded5052f3b3db56441f4500.png"/>
<Relationship Id="rId43" Type="http://schemas.openxmlformats.org/officeDocument/2006/relationships/image" Target="media/afcc255374852493cc2caf381d38e3b710c0b9ac.png"/>
<Relationship Id="rId44" Type="http://schemas.openxmlformats.org/officeDocument/2006/relationships/image" Target="media/94a0e08fda3f0378daadde004b0a35f1dd241c08.png"/>
<Relationship Id="rId45" Type="http://schemas.openxmlformats.org/officeDocument/2006/relationships/image" Target="media/d45d1e8273c0be97928f9fc075c16f37d03a9d0c.png"/>
<Relationship Id="rId46" Type="http://schemas.openxmlformats.org/officeDocument/2006/relationships/image" Target="media/5ab6a0968cc44ba159abfd7ecd975064870c3d29.png"/>
<Relationship Id="rId47" Type="http://schemas.openxmlformats.org/officeDocument/2006/relationships/image" Target="media/518fcaf73b9854d4c1fae817c5d768af02a7905b.png"/>
<Relationship Id="rId48" Type="http://schemas.openxmlformats.org/officeDocument/2006/relationships/image" Target="media/3f97de5b9f1a74d18d60b65529f10f013577e5d9.png"/>
<Relationship Id="rId49" Type="http://schemas.openxmlformats.org/officeDocument/2006/relationships/image" Target="media/320bb8fb35088c94e2d9e884f690dda23f66c10e.png"/>
<Relationship Id="rId50" Type="http://schemas.openxmlformats.org/officeDocument/2006/relationships/image" Target="media/4e671344be0f4b04d6053806a56b3f0f0115dd19.png"/>
<Relationship Id="rId51" Type="http://schemas.openxmlformats.org/officeDocument/2006/relationships/image" Target="media/2d85c516251ae44c51897b993d268acede8645ec.png"/>
<Relationship Id="rId52" Type="http://schemas.openxmlformats.org/officeDocument/2006/relationships/image" Target="media/9df00f0a44bd102fb575767fc92b2208a453ad29.png"/>
<Relationship Id="rId53" Type="http://schemas.openxmlformats.org/officeDocument/2006/relationships/image" Target="media/ca98e8112be87db94a1eaa6cd5a2cf75894b660f.png"/>
<Relationship Id="rId54" Type="http://schemas.openxmlformats.org/officeDocument/2006/relationships/image" Target="media/cd1cabda2aba87bc1656fab1d39ea9b1ca95cb2a.png"/>
<Relationship Id="rId55" Type="http://schemas.openxmlformats.org/officeDocument/2006/relationships/image" Target="media/6d8c303df915dfcf91c81147002e3a5e84201ba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yi-an</cp:lastModifiedBy>
  <cp:revision>9</cp:revision>
  <dcterms:created xsi:type="dcterms:W3CDTF">2017-02-28T11:18:00Z</dcterms:created>
  <dcterms:modified xsi:type="dcterms:W3CDTF">2026-08-28T16:45:01Z</dcterms:modified>
  <cp:category/>
</cp:coreProperties>
</file>