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35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1"/>
          <w:numId w:val="1002"/>
        </w:numPr>
        <w:pStyle w:val="Compact"/>
      </w:pPr>
      <w:r>
        <w:t xml:space="preserve">Payment Acknowledgements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pPr>
        <w:numPr>
          <w:ilvl w:val="0"/>
          <w:numId w:val="1010"/>
        </w:numPr>
        <w:pStyle w:val="Compact"/>
      </w:pPr>
      <w:r>
        <w:rPr>
          <w:b/>
        </w:rPr>
        <w:t xml:space="preserve">Fixed in v1.30.1</w:t>
      </w:r>
      <w:r>
        <w:t xml:space="preserve">:</w:t>
      </w:r>
      <w:r>
        <w:t xml:space="preserve"> </w:t>
      </w:r>
      <w:r>
        <w:rPr>
          <w:rStyle w:val="VerbatimChar"/>
        </w:rPr>
        <w:t xml:space="preserve">reverseTransaction</w:t>
      </w:r>
      <w:r>
        <w:t xml:space="preserve"> </w:t>
      </w:r>
      <w:r>
        <w:t xml:space="preserve">previously reversed the ledger transaction for a shareholder contribution without ever updating the linked</w:t>
      </w:r>
      <w:r>
        <w:t xml:space="preserve"> </w:t>
      </w:r>
      <w:r>
        <w:rPr>
          <w:rStyle w:val="VerbatimChar"/>
        </w:rPr>
        <w:t xml:space="preserve">shareholder_contributions.status</w:t>
      </w:r>
      <w:r>
        <w:t xml:space="preserve"> </w:t>
      </w:r>
      <w:r>
        <w:t xml:space="preserve">or re-running the shareholding recompute —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 Section 14’s registry. Now gated on</w:t>
      </w:r>
      <w:r>
        <w:t xml:space="preserve"> </w:t>
      </w:r>
      <w:r>
        <w:rPr>
          <w:rStyle w:val="VerbatimChar"/>
        </w:rPr>
        <w:t xml:space="preserve">tx.contribution_id</w:t>
      </w:r>
      <w:r>
        <w:t xml:space="preserve"> </w:t>
      </w:r>
      <w:r>
        <w:t xml:space="preserve">(only set for</w:t>
      </w:r>
      <w:r>
        <w:t xml:space="preserve"> </w:t>
      </w:r>
      <w:r>
        <w:rPr>
          <w:rStyle w:val="VerbatimChar"/>
        </w:rPr>
        <w:t xml:space="preserve">inflow_type = 'CONTRIBUTION'</w:t>
      </w:r>
      <w:r>
        <w:t xml:space="preserve"> </w:t>
      </w:r>
      <w:r>
        <w:t xml:space="preserve">transactions, so every other reversal type is unaffected): the linked contribution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runs immediately after, inside the same transaction. See Section 14.6 for the shareholding-side half of this fix.</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w:t>
      </w:r>
    </w:p>
    <w:p>
      <w:pPr>
        <w:pStyle w:val="Heading5"/>
      </w:pPr>
      <w:bookmarkStart w:id="96" w:name="purpose-9"/>
      <w:r>
        <w:t xml:space="preserve">10.1 Purpose</w:t>
      </w:r>
      <w:bookmarkEnd w:id="96"/>
    </w:p>
    <w:p>
      <w:pPr>
        <w:pStyle w:val="FirstParagraph"/>
      </w:pPr>
      <w:r>
        <w:t xml:space="preserve">A required-for-all-shareholders monthly contribution scheme — every active shareholder owes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active shareholder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 and</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(shown only while the fund is active) that slices an amount out of the total before it’s submitted; the contribution amount that will actually be recorded is shown live underneath.</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pPr>
        <w:numPr>
          <w:ilvl w:val="0"/>
          <w:numId w:val="1033"/>
        </w:numPr>
        <w:pStyle w:val="Compact"/>
      </w:pPr>
      <w:r>
        <w:rPr>
          <w:b/>
        </w:rPr>
        <w:t xml:space="preserve">v1.30.0</w:t>
      </w:r>
      <w:r>
        <w:t xml:space="preserve">:</w:t>
      </w:r>
      <w:r>
        <w:t xml:space="preserve"> </w:t>
      </w:r>
      <w:r>
        <w:rPr>
          <w:rStyle w:val="VerbatimChar"/>
        </w:rPr>
        <w:t xml:space="preserve">approveDividend</w:t>
      </w:r>
      <w:r>
        <w:t xml:space="preserve"> </w:t>
      </w:r>
      <w:r>
        <w:t xml:space="preserve">now also creates one Payment Acknowledgement per shareholder distribution (Section 4.35) — each shareholder reviews and confirms their own credited share, separate from the DIVIDEND_PAID bell/email notification this section already documented.</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shares_held, percentage (NUMERIC, 4 decimal places), effective_from, effective_to (NULL = the current row for that user — application logic, not a DB constraint, enforces one current row per user), updated_by, notes, created_at.</w:t>
      </w:r>
    </w:p>
    <w:p>
      <w:pPr>
        <w:pStyle w:val="Heading5"/>
      </w:pPr>
      <w:bookmarkStart w:id="126" w:name="business-rules-key-logic-12"/>
      <w:r>
        <w:t xml:space="preserve">14.3 Business rules / key logic</w:t>
      </w:r>
      <w:bookmarkEnd w:id="126"/>
    </w:p>
    <w:p>
      <w:pPr>
        <w:numPr>
          <w:ilvl w:val="0"/>
          <w:numId w:val="1036"/>
        </w:numPr>
        <w:pStyle w:val="Compact"/>
      </w:pPr>
      <w:r>
        <w:rPr>
          <w:b/>
        </w:rPr>
        <w:t xml:space="preserve">Always derived, never directly edited</w:t>
      </w:r>
      <w:r>
        <w:t xml:space="preserve">: as covered in Section 2.3, every approved contribution triggers</w:t>
      </w:r>
      <w:r>
        <w:t xml:space="preserve"> </w:t>
      </w:r>
      <w:r>
        <w:rPr>
          <w:rStyle w:val="VerbatimChar"/>
        </w:rPr>
        <w:t xml:space="preserve">recalculateShareholding()</w:t>
      </w:r>
      <w:r>
        <w:t xml:space="preserve"> </w:t>
      </w:r>
      <w:r>
        <w:t xml:space="preserve">(</w:t>
      </w:r>
      <w:r>
        <w:rPr>
          <w:rStyle w:val="VerbatimChar"/>
        </w:rPr>
        <w:t xml:space="preserve">transactionsController.js</w:t>
      </w:r>
      <w:r>
        <w:t xml:space="preserve">, extracted as its own function in v1.30.1) — a full recompute across</w:t>
      </w:r>
      <w:r>
        <w:t xml:space="preserve"> </w:t>
      </w:r>
      <w:r>
        <w:rPr>
          <w:i/>
        </w:rPr>
        <w:t xml:space="preserve">all</w:t>
      </w:r>
      <w:r>
        <w:t xml:space="preserve"> </w:t>
      </w:r>
      <w:r>
        <w:t xml:space="preserve">shareholders (sum each member’s</w:t>
      </w:r>
      <w:r>
        <w:t xml:space="preserve"> </w:t>
      </w:r>
      <w:r>
        <w:rPr>
          <w:rStyle w:val="VerbatimChar"/>
        </w:rPr>
        <w:t xml:space="preserve">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rPr>
          <w:rStyle w:val="VerbatimChar"/>
          <w:b/>
        </w:rPr>
        <w:t xml:space="preserve">shares_held</w:t>
      </w:r>
      <w:r>
        <w:rPr>
          <w:b/>
        </w:rPr>
        <w:t xml:space="preserve"> </w:t>
      </w:r>
      <w:r>
        <w:rPr>
          <w:b/>
        </w:rPr>
        <w:t xml:space="preserve">is raw contributed money, not a share count divided by price.</w:t>
      </w:r>
      <w:r>
        <w:t xml:space="preserve"> </w:t>
      </w:r>
      <w:r>
        <w:rPr>
          <w:rStyle w:val="VerbatimChar"/>
        </w:rPr>
        <w:t xml:space="preserve">shares_held</w:t>
      </w:r>
      <w:r>
        <w:t xml:space="preserve"> </w:t>
      </w:r>
      <w:r>
        <w:t xml:space="preserve">for a member is literally their own</w:t>
      </w:r>
      <w:r>
        <w:t xml:space="preserve"> </w:t>
      </w:r>
      <w:r>
        <w:rPr>
          <w:rStyle w:val="VerbatimChar"/>
        </w:rPr>
        <w:t xml:space="preserve">SUM(shareholder_contributions.amount)</w:t>
      </w:r>
      <w:r>
        <w:t xml:space="preserve"> </w:t>
      </w:r>
      <w:r>
        <w:t xml:space="preserve">— nothing here is ever divided by</w:t>
      </w:r>
      <w:r>
        <w:t xml:space="preserve"> </w:t>
      </w:r>
      <w:r>
        <w:rPr>
          <w:rStyle w:val="VerbatimChar"/>
        </w:rPr>
        <w:t xml:space="preserve">share_price_history.price_per_share</w:t>
      </w:r>
      <w:r>
        <w:t xml:space="preserve">. Share price (Section 4.6’s</w:t>
      </w:r>
      <w:r>
        <w:t xml:space="preserve"> </w:t>
      </w:r>
      <w:r>
        <w:rPr>
          <w:rStyle w:val="VerbatimChar"/>
        </w:rPr>
        <w:t xml:space="preserve">sharesController.js</w:t>
      </w:r>
      <w:r>
        <w:t xml:space="preserve">) is a display-only valuation multiplier (</w:t>
      </w:r>
      <w:r>
        <w:rPr>
          <w:rStyle w:val="VerbatimChar"/>
        </w:rPr>
        <w:t xml:space="preserve">shares_held × price_per_share</w:t>
      </w:r>
      <w:r>
        <w:t xml:space="preserve">, shown on a member’s profile and in the price-change notification email) — setting a new share price never writes to</w:t>
      </w:r>
      <w:r>
        <w:t xml:space="preserve"> </w:t>
      </w:r>
      <w:r>
        <w:rPr>
          <w:rStyle w:val="VerbatimChar"/>
        </w:rPr>
        <w:t xml:space="preserve">shareholding_registry</w:t>
      </w:r>
      <w:r>
        <w:t xml:space="preserve"> </w:t>
      </w:r>
      <w:r>
        <w:t xml:space="preserve">at all, so it can never reduce or otherwise alter a member’s existing shares/percentage. New shares only ever get added by a new approved contribution, at that contribution’s own amount, regardless of what the share price happens to be set to that day.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b/>
        </w:rPr>
        <w:t xml:space="preserve">Reversals are excluded</w:t>
      </w:r>
      <w:r>
        <w:t xml:space="preserve"> </w:t>
      </w:r>
      <w:r>
        <w:t xml:space="preserve">(fixed v1.30.1):</w:t>
      </w:r>
      <w:r>
        <w:t xml:space="preserve"> </w:t>
      </w:r>
      <w:r>
        <w:rPr>
          <w:rStyle w:val="VerbatimChar"/>
        </w:rPr>
        <w:t xml:space="preserve">recalculateShareholding()</w:t>
      </w:r>
      <w:r>
        <w:t xml:space="preserve"> </w:t>
      </w:r>
      <w:r>
        <w:t xml:space="preserve">only sums</w:t>
      </w:r>
      <w:r>
        <w:t xml:space="preserve"> </w:t>
      </w:r>
      <w:r>
        <w:rPr>
          <w:rStyle w:val="VerbatimChar"/>
        </w:rPr>
        <w:t xml:space="preserve">status = 'APPROVED'</w:t>
      </w:r>
      <w:r>
        <w:t xml:space="preserve"> </w:t>
      </w:r>
      <w:r>
        <w:t xml:space="preserve">contributions. If a Treasurer reverses the ledger transaction behind a contribution (Section 2.3’s reversal rules),</w:t>
      </w:r>
      <w:r>
        <w:t xml:space="preserve"> </w:t>
      </w:r>
      <w:r>
        <w:rPr>
          <w:rStyle w:val="VerbatimChar"/>
        </w:rPr>
        <w:t xml:space="preserve">reverseTransaction</w:t>
      </w:r>
      <w:r>
        <w:t xml:space="preserve"> </w:t>
      </w:r>
      <w:r>
        <w:t xml:space="preserve">now also flips that</w:t>
      </w:r>
      <w:r>
        <w:t xml:space="preserve"> </w:t>
      </w:r>
      <w:r>
        <w:rPr>
          <w:rStyle w:val="VerbatimChar"/>
        </w:rPr>
        <w:t xml:space="preserve">shareholder_contributions</w:t>
      </w:r>
      <w:r>
        <w:t xml:space="preserve"> </w:t>
      </w:r>
      <w:r>
        <w:t xml:space="preserve">row to</w:t>
      </w:r>
      <w:r>
        <w:t xml:space="preserve"> </w:t>
      </w:r>
      <w:r>
        <w:rPr>
          <w:rStyle w:val="VerbatimChar"/>
        </w:rPr>
        <w:t xml:space="preserve">REVERSED</w:t>
      </w:r>
      <w:r>
        <w:t xml:space="preserve"> </w:t>
      </w:r>
      <w:r>
        <w:t xml:space="preserve">and re-runs the recompute — so a reversed contribution stops counting toward that member’s shares/percentage immediately, in the same database transaction as the reversal itself. If that was the member’s</w:t>
      </w:r>
      <w:r>
        <w:t xml:space="preserve"> </w:t>
      </w:r>
      <w:r>
        <w:rPr>
          <w:i/>
        </w:rPr>
        <w:t xml:space="preserve">only</w:t>
      </w:r>
      <w:r>
        <w:t xml:space="preserve"> </w:t>
      </w:r>
      <w:r>
        <w:t xml:space="preserve">approved contribution, a second pass zeroes their</w:t>
      </w:r>
      <w:r>
        <w:t xml:space="preserve"> </w:t>
      </w:r>
      <w:r>
        <w:rPr>
          <w:rStyle w:val="VerbatimChar"/>
        </w:rPr>
        <w:t xml:space="preserve">shares_held</w:t>
      </w:r>
      <w:r>
        <w:t xml:space="preserve">/</w:t>
      </w:r>
      <w:r>
        <w:rPr>
          <w:rStyle w:val="VerbatimChar"/>
        </w:rPr>
        <w:t xml:space="preserve">percentage</w:t>
      </w:r>
      <w:r>
        <w:t xml:space="preserve"> </w:t>
      </w:r>
      <w:r>
        <w:t xml:space="preserve">out explicitly, since they’d otherwise never be touched by the main per-shareholder loop (which only updates users who still have at least one approved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8" w:name="frontend-10"/>
      <w:r>
        <w:t xml:space="preserve">14.5 Frontend</w:t>
      </w:r>
      <w:bookmarkEnd w:id="128"/>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pPr>
        <w:numPr>
          <w:ilvl w:val="0"/>
          <w:numId w:val="1037"/>
        </w:numPr>
        <w:pStyle w:val="Compact"/>
      </w:pPr>
      <w:r>
        <w:rPr>
          <w:b/>
        </w:rPr>
        <w:t xml:space="preserve">Fixed in v1.30.1</w:t>
      </w:r>
      <w:r>
        <w:t xml:space="preserve">: reversing a contribution’s transaction previously left it still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indefinitely, since nothing re-triggered the recompute or excluded it. See Section 14.3 and Section 2.6 for the full fix.</w:t>
      </w:r>
    </w:p>
    <w:p>
      <w:r>
        <w:pict>
          <v:rect style="width:0;height:1.5pt" o:hralign="center" o:hrstd="t" o:hr="t"/>
        </w:pict>
      </w:r>
    </w:p>
    <w:p>
      <w:pPr>
        <w:pStyle w:val="Heading4"/>
      </w:pPr>
      <w:bookmarkStart w:id="130" w:name="Xf3365a277c6473ca49bebfb307417bd25bd78ff"/>
      <w:r>
        <w:t xml:space="preserve">Cross-module notes (Side Fund, Savings, Dividends, Certificates, Shareholding)</w:t>
      </w:r>
      <w:bookmarkEnd w:id="130"/>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1" w:name="purpose-14"/>
      <w:r>
        <w:t xml:space="preserve">15.1 Purpose</w:t>
      </w:r>
      <w:bookmarkEnd w:id="131"/>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2" w:name="data-model-14"/>
      <w:r>
        <w:t xml:space="preserve">15.2 Data model</w:t>
      </w:r>
      <w:bookmarkEnd w:id="132"/>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3" w:name="business-rules-key-logic-13"/>
      <w:r>
        <w:t xml:space="preserve">15.3 Business rules / key logic</w:t>
      </w:r>
      <w:bookmarkEnd w:id="133"/>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4"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5" w:name="frontend-11"/>
      <w:r>
        <w:t xml:space="preserve">15.5 Frontend</w:t>
      </w:r>
      <w:bookmarkEnd w:id="135"/>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6" w:name="known-issues-events"/>
      <w:r>
        <w:t xml:space="preserve">15.6 Known issues (Events)</w:t>
      </w:r>
      <w:bookmarkEnd w:id="136"/>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7" w:name="documents"/>
      <w:r>
        <w:t xml:space="preserve">16. DOCUMENTS</w:t>
      </w:r>
      <w:bookmarkEnd w:id="137"/>
    </w:p>
    <w:p>
      <w:pPr>
        <w:pStyle w:val="Heading5"/>
      </w:pPr>
      <w:bookmarkStart w:id="138" w:name="purpose-15"/>
      <w:r>
        <w:t xml:space="preserve">16.1 Purpose</w:t>
      </w:r>
      <w:bookmarkEnd w:id="138"/>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9" w:name="data-model-15"/>
      <w:r>
        <w:t xml:space="preserve">16.2 Data model</w:t>
      </w:r>
      <w:bookmarkEnd w:id="139"/>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0" w:name="business-rules-key-logic-14"/>
      <w:r>
        <w:t xml:space="preserve">16.3 Business rules / key logic</w:t>
      </w:r>
      <w:bookmarkEnd w:id="140"/>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1"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2" w:name="frontend-12"/>
      <w:r>
        <w:t xml:space="preserve">16.5 Frontend</w:t>
      </w:r>
      <w:bookmarkEnd w:id="142"/>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3" w:name="known-issues-documents"/>
      <w:r>
        <w:t xml:space="preserve">16.6 Known issues (Documents)</w:t>
      </w:r>
      <w:bookmarkEnd w:id="143"/>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4" w:name="reports"/>
      <w:r>
        <w:t xml:space="preserve">17. REPORTS</w:t>
      </w:r>
      <w:bookmarkEnd w:id="144"/>
    </w:p>
    <w:p>
      <w:pPr>
        <w:pStyle w:val="Heading5"/>
      </w:pPr>
      <w:bookmarkStart w:id="145" w:name="purpose-16"/>
      <w:r>
        <w:t xml:space="preserve">17.1 Purpose</w:t>
      </w:r>
      <w:bookmarkEnd w:id="145"/>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6" w:name="data-model-16"/>
      <w:r>
        <w:t xml:space="preserve">17.2 Data model</w:t>
      </w:r>
      <w:bookmarkEnd w:id="146"/>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7" w:name="business-rules-key-logic-15"/>
      <w:r>
        <w:t xml:space="preserve">17.3 Business rules / key logic</w:t>
      </w:r>
      <w:bookmarkEnd w:id="147"/>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8"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49" w:name="frontend-13"/>
      <w:r>
        <w:t xml:space="preserve">17.5 Frontend</w:t>
      </w:r>
      <w:bookmarkEnd w:id="149"/>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0" w:name="known-issues-reports"/>
      <w:r>
        <w:t xml:space="preserve">17.6 Known issues (Reports)</w:t>
      </w:r>
      <w:bookmarkEnd w:id="150"/>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1" w:name="notifications"/>
      <w:r>
        <w:t xml:space="preserve">18. NOTIFICATIONS</w:t>
      </w:r>
      <w:bookmarkEnd w:id="151"/>
    </w:p>
    <w:p>
      <w:pPr>
        <w:pStyle w:val="Heading5"/>
      </w:pPr>
      <w:bookmarkStart w:id="152" w:name="purpose-17"/>
      <w:r>
        <w:t xml:space="preserve">18.1 Purpose</w:t>
      </w:r>
      <w:bookmarkEnd w:id="152"/>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3" w:name="data-model-17"/>
      <w:r>
        <w:t xml:space="preserve">18.2 Data model</w:t>
      </w:r>
      <w:bookmarkEnd w:id="153"/>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4" w:name="business-rules-key-logic-16"/>
      <w:r>
        <w:t xml:space="preserve">18.3 Business rules / key logic</w:t>
      </w:r>
      <w:bookmarkEnd w:id="154"/>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5"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6" w:name="frontend-14"/>
      <w:r>
        <w:t xml:space="preserve">18.5 Frontend</w:t>
      </w:r>
      <w:bookmarkEnd w:id="156"/>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7" w:name="known-issues-notifications"/>
      <w:r>
        <w:t xml:space="preserve">18.6 Known issues (Notifications)</w:t>
      </w:r>
      <w:bookmarkEnd w:id="157"/>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8" w:name="settings-company-branding"/>
      <w:r>
        <w:t xml:space="preserve">19. SETTINGS / COMPANY BRANDING</w:t>
      </w:r>
      <w:bookmarkEnd w:id="158"/>
    </w:p>
    <w:p>
      <w:pPr>
        <w:pStyle w:val="Heading5"/>
      </w:pPr>
      <w:bookmarkStart w:id="159" w:name="purpose-18"/>
      <w:r>
        <w:t xml:space="preserve">19.1 Purpose</w:t>
      </w:r>
      <w:bookmarkEnd w:id="159"/>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0" w:name="data-model-18"/>
      <w:r>
        <w:t xml:space="preserve">19.2 Data model</w:t>
      </w:r>
      <w:bookmarkEnd w:id="160"/>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1" w:name="business-rules-key-logic-17"/>
      <w:r>
        <w:t xml:space="preserve">19.3 Business rules / key logic</w:t>
      </w:r>
      <w:bookmarkEnd w:id="161"/>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2"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3" w:name="frontend-15"/>
      <w:r>
        <w:t xml:space="preserve">19.5 Frontend</w:t>
      </w:r>
      <w:bookmarkEnd w:id="163"/>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4" w:name="fiscal-quarters-v1.25.0"/>
      <w:r>
        <w:t xml:space="preserve">19.6 Fiscal Quarters (v1.25.0)</w:t>
      </w:r>
      <w:bookmarkEnd w:id="164"/>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5" w:name="known-issues-settings"/>
      <w:r>
        <w:t xml:space="preserve">19.7 Known issues (Settings)</w:t>
      </w:r>
      <w:bookmarkEnd w:id="165"/>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6" w:name="global-search"/>
      <w:r>
        <w:t xml:space="preserve">20. GLOBAL SEARCH</w:t>
      </w:r>
      <w:bookmarkEnd w:id="166"/>
    </w:p>
    <w:p>
      <w:pPr>
        <w:pStyle w:val="Heading5"/>
      </w:pPr>
      <w:bookmarkStart w:id="167" w:name="purpose-19"/>
      <w:r>
        <w:t xml:space="preserve">20.1 Purpose</w:t>
      </w:r>
      <w:bookmarkEnd w:id="167"/>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8" w:name="data-model-19"/>
      <w:r>
        <w:t xml:space="preserve">20.2 Data model</w:t>
      </w:r>
      <w:bookmarkEnd w:id="168"/>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9" w:name="business-rules-key-logic-18"/>
      <w:r>
        <w:t xml:space="preserve">20.3 Business rules / key logic</w:t>
      </w:r>
      <w:bookmarkEnd w:id="169"/>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0"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0"/>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1" w:name="frontend-16"/>
      <w:r>
        <w:t xml:space="preserve">20.5 Frontend</w:t>
      </w:r>
      <w:bookmarkEnd w:id="171"/>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2" w:name="known-issues-global-search"/>
      <w:r>
        <w:t xml:space="preserve">20.6 Known issues (Global Search)</w:t>
      </w:r>
      <w:bookmarkEnd w:id="172"/>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3" w:name="Xc89059eaaa7bfb25c821e8350ffb410044dfb3d"/>
      <w:r>
        <w:t xml:space="preserve">21. DOCUMENT GENERATION / EXPORT PIPELINE (</w:t>
      </w:r>
      <w:r>
        <w:rPr>
          <w:rStyle w:val="VerbatimChar"/>
        </w:rPr>
        <w:t xml:space="preserve">exportUtils.js</w:t>
      </w:r>
      <w:r>
        <w:t xml:space="preserve">)</w:t>
      </w:r>
      <w:bookmarkEnd w:id="173"/>
    </w:p>
    <w:p>
      <w:pPr>
        <w:pStyle w:val="Heading5"/>
      </w:pPr>
      <w:bookmarkStart w:id="174" w:name="purpose-20"/>
      <w:r>
        <w:t xml:space="preserve">21.1 Purpose</w:t>
      </w:r>
      <w:bookmarkEnd w:id="174"/>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5" w:name="key-functions"/>
      <w:r>
        <w:t xml:space="preserve">21.2 Key functions</w:t>
      </w:r>
      <w:bookmarkEnd w:id="175"/>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6" w:name="known-issues-export-pipeline"/>
      <w:r>
        <w:t xml:space="preserve">21.3 Known issues (Export pipeline)</w:t>
      </w:r>
      <w:bookmarkEnd w:id="176"/>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7" w:name="purpose-21"/>
      <w:r>
        <w:t xml:space="preserve">22.1 Purpose</w:t>
      </w:r>
      <w:bookmarkEnd w:id="177"/>
    </w:p>
    <w:p>
      <w:pPr>
        <w:pStyle w:val="FirstParagraph"/>
      </w:pPr>
      <w:r>
        <w:t xml:space="preserve">Handles login, session management (JWT access + refresh tokens), two-factor authentication (TOTP), and password reset — the front door of the system.</w:t>
      </w:r>
    </w:p>
    <w:p>
      <w:pPr>
        <w:pStyle w:val="Heading5"/>
      </w:pPr>
      <w:bookmarkStart w:id="178" w:name="data-model-20"/>
      <w:r>
        <w:t xml:space="preserve">22.2 Data model</w:t>
      </w:r>
      <w:bookmarkEnd w:id="178"/>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9" w:name="business-rules-key-logic-19"/>
      <w:r>
        <w:t xml:space="preserve">22.3 Business rules / key logic</w:t>
      </w:r>
      <w:bookmarkEnd w:id="179"/>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0"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1" w:name="frontend-17"/>
      <w:r>
        <w:t xml:space="preserve">22.5 Frontend</w:t>
      </w:r>
      <w:bookmarkEnd w:id="181"/>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2" w:name="X37af110dce98fc63ac51c5323d996e6cd3c995f"/>
      <w:r>
        <w:t xml:space="preserve">22.5.1 Logout confirmation + idle auto-logout (v1.28.2)</w:t>
      </w:r>
      <w:bookmarkEnd w:id="182"/>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3" w:name="known-issues-authentication"/>
      <w:r>
        <w:t xml:space="preserve">22.6 Known issues (Authentication)</w:t>
      </w:r>
      <w:bookmarkEnd w:id="183"/>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4" w:name="users"/>
      <w:r>
        <w:t xml:space="preserve">23. USERS</w:t>
      </w:r>
      <w:bookmarkEnd w:id="184"/>
    </w:p>
    <w:p>
      <w:pPr>
        <w:pStyle w:val="Heading5"/>
      </w:pPr>
      <w:bookmarkStart w:id="185" w:name="purpose-22"/>
      <w:r>
        <w:t xml:space="preserve">23.1 Purpose</w:t>
      </w:r>
      <w:bookmarkEnd w:id="185"/>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6" w:name="data-model-21"/>
      <w:r>
        <w:t xml:space="preserve">23.2 Data model</w:t>
      </w:r>
      <w:bookmarkEnd w:id="186"/>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7" w:name="business-rules-key-logic-20"/>
      <w:r>
        <w:t xml:space="preserve">23.3 Business rules / key logic</w:t>
      </w:r>
      <w:bookmarkEnd w:id="187"/>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8"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bl>
    <w:p>
      <w:pPr>
        <w:pStyle w:val="Heading5"/>
      </w:pPr>
      <w:bookmarkStart w:id="189" w:name="frontend-18"/>
      <w:r>
        <w:t xml:space="preserve">23.5 Frontend</w:t>
      </w:r>
      <w:bookmarkEnd w:id="189"/>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0" w:name="known-issues-users"/>
      <w:r>
        <w:t xml:space="preserve">23.6 Known issues (Users)</w:t>
      </w:r>
      <w:bookmarkEnd w:id="190"/>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r>
        <w:pict>
          <v:rect style="width:0;height:1.5pt" o:hralign="center" o:hrstd="t" o:hr="t"/>
        </w:pict>
      </w:r>
    </w:p>
    <w:p>
      <w:pPr>
        <w:pStyle w:val="Heading4"/>
      </w:pPr>
      <w:bookmarkStart w:id="191" w:name="roles-permissions-rbac"/>
      <w:r>
        <w:t xml:space="preserve">24. ROLES &amp; PERMISSIONS (RBAC)</w:t>
      </w:r>
      <w:bookmarkEnd w:id="191"/>
    </w:p>
    <w:p>
      <w:pPr>
        <w:pStyle w:val="Heading5"/>
      </w:pPr>
      <w:bookmarkStart w:id="192" w:name="purpose-23"/>
      <w:r>
        <w:t xml:space="preserve">24.1 Purpose</w:t>
      </w:r>
      <w:bookmarkEnd w:id="192"/>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3" w:name="data-model-22"/>
      <w:r>
        <w:t xml:space="preserve">24.2 Data model</w:t>
      </w:r>
      <w:bookmarkEnd w:id="193"/>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4" w:name="business-rules-key-logic-21"/>
      <w:r>
        <w:t xml:space="preserve">24.3 Business rules / key logic</w:t>
      </w:r>
      <w:bookmarkEnd w:id="194"/>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5"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196" w:name="frontend-19"/>
      <w:r>
        <w:t xml:space="preserve">24.5 Frontend</w:t>
      </w:r>
      <w:bookmarkEnd w:id="196"/>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7" w:name="known-issues-roles-permissions"/>
      <w:r>
        <w:t xml:space="preserve">24.6 Known issues (Roles &amp; Permissions)</w:t>
      </w:r>
      <w:bookmarkEnd w:id="197"/>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8" w:name="internal-audit-log-audit_log"/>
      <w:r>
        <w:t xml:space="preserve">25. INTERNAL AUDIT LOG (</w:t>
      </w:r>
      <w:r>
        <w:rPr>
          <w:rStyle w:val="VerbatimChar"/>
        </w:rPr>
        <w:t xml:space="preserve">audit_log</w:t>
      </w:r>
      <w:r>
        <w:t xml:space="preserve">)</w:t>
      </w:r>
      <w:bookmarkEnd w:id="198"/>
    </w:p>
    <w:p>
      <w:pPr>
        <w:pStyle w:val="Heading5"/>
      </w:pPr>
      <w:bookmarkStart w:id="199" w:name="purpose-24"/>
      <w:r>
        <w:t xml:space="preserve">25.1 Purpose</w:t>
      </w:r>
      <w:bookmarkEnd w:id="199"/>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0" w:name="data-model-23"/>
      <w:r>
        <w:t xml:space="preserve">25.2 Data model</w:t>
      </w:r>
      <w:bookmarkEnd w:id="200"/>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1" w:name="business-rules-key-logic-22"/>
      <w:r>
        <w:t xml:space="preserve">25.3 Business rules / key logic</w:t>
      </w:r>
      <w:bookmarkEnd w:id="201"/>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2"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3" w:name="frontend-20"/>
      <w:r>
        <w:t xml:space="preserve">25.5 Frontend</w:t>
      </w:r>
      <w:bookmarkEnd w:id="203"/>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4" w:name="known-issues-internal-audit-log"/>
      <w:r>
        <w:t xml:space="preserve">25.6 Known issues (Internal Audit Log)</w:t>
      </w:r>
      <w:bookmarkEnd w:id="204"/>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5" w:name="X2d5ca97a0485681a0d5ce61e36e76cdfc6369f5"/>
      <w:r>
        <w:t xml:space="preserve">Cross-module notes (Auth, Users, Roles &amp; Permissions, Internal Audit Log)</w:t>
      </w:r>
      <w:bookmarkEnd w:id="205"/>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6" w:name="purpose-25"/>
      <w:r>
        <w:t xml:space="preserve">26.1 Purpose</w:t>
      </w:r>
      <w:bookmarkEnd w:id="206"/>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7" w:name="scheduled-jobs-node-cron"/>
      <w:r>
        <w:t xml:space="preserve">26.2 Scheduled jobs (</w:t>
      </w:r>
      <w:r>
        <w:rPr>
          <w:rStyle w:val="VerbatimChar"/>
        </w:rPr>
        <w:t xml:space="preserve">node-cron</w:t>
      </w:r>
      <w:r>
        <w:t xml:space="preserve">)</w:t>
      </w:r>
      <w:bookmarkEnd w:id="207"/>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8" w:name="email-delivery"/>
      <w:r>
        <w:t xml:space="preserve">26.3 Email delivery</w:t>
      </w:r>
      <w:bookmarkEnd w:id="208"/>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9" w:name="X74e677a99528fc6388359327651b8b47b01e6f5"/>
      <w:r>
        <w:t xml:space="preserve">26.4 Reference-code system (recap + infrastructure detail)</w:t>
      </w:r>
      <w:bookmarkEnd w:id="209"/>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0" w:name="file-uploads"/>
      <w:r>
        <w:t xml:space="preserve">26.5 File uploads</w:t>
      </w:r>
      <w:bookmarkEnd w:id="210"/>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1" w:name="Xf78a428c9bda08d3e0490e0669ec5add596211c"/>
      <w:r>
        <w:t xml:space="preserve">26.6 Deployment architecture (Render Blueprints)</w:t>
      </w:r>
      <w:bookmarkEnd w:id="211"/>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1.26.2</w:t>
            </w:r>
          </w:p>
        </w:tc>
        <w:tc>
          <w:p>
            <w:pPr>
              <w:pStyle w:val="Compact"/>
              <w:jc w:val="left"/>
            </w:pPr>
            <w:r>
              <w:rPr>
                <w:rStyle w:val="VerbatimChar"/>
              </w:rPr>
              <w:t xml:space="preserve">1.26.2</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2" w:name="future-date-validation-v1.25.0"/>
      <w:r>
        <w:t xml:space="preserve">26.7 Future-date validation (v1.25.0)</w:t>
      </w:r>
      <w:bookmarkEnd w:id="212"/>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3" w:name="known-issues-infrastructure"/>
      <w:r>
        <w:t xml:space="preserve">26.8 Known issues (Infrastructure)</w:t>
      </w:r>
      <w:bookmarkEnd w:id="213"/>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4" w:name="external-audit-portal"/>
      <w:r>
        <w:t xml:space="preserve">27. EXTERNAL AUDIT PORTAL</w:t>
      </w:r>
      <w:bookmarkEnd w:id="214"/>
    </w:p>
    <w:p>
      <w:pPr>
        <w:pStyle w:val="Heading5"/>
      </w:pPr>
      <w:bookmarkStart w:id="215" w:name="purpose-26"/>
      <w:r>
        <w:t xml:space="preserve">27.1 Purpose</w:t>
      </w:r>
      <w:bookmarkEnd w:id="215"/>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6" w:name="data-model-24"/>
      <w:r>
        <w:t xml:space="preserve">27.2 Data model</w:t>
      </w:r>
      <w:bookmarkEnd w:id="216"/>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7" w:name="business-rules-key-logic-23"/>
      <w:r>
        <w:t xml:space="preserve">27.3 Business rules / key logic</w:t>
      </w:r>
      <w:bookmarkEnd w:id="217"/>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8"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8"/>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19" w:name="frontend-21"/>
      <w:r>
        <w:t xml:space="preserve">27.5 Frontend</w:t>
      </w:r>
      <w:bookmarkEnd w:id="219"/>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0" w:name="known-issues-external-audit-portal"/>
      <w:r>
        <w:t xml:space="preserve">27.6 Known issues (External Audit Portal)</w:t>
      </w:r>
      <w:bookmarkEnd w:id="220"/>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1" w:name="Xbfefdf25431bcb5fbadb14e88f72ae50a1a1c0c"/>
      <w:r>
        <w:t xml:space="preserve">28. STAFF ACCESS &amp; SERVICE FEES (ADMINISTRATIVE OFFICER ROLE)</w:t>
      </w:r>
      <w:bookmarkEnd w:id="221"/>
    </w:p>
    <w:p>
      <w:pPr>
        <w:pStyle w:val="Heading5"/>
      </w:pPr>
      <w:bookmarkStart w:id="222" w:name="purpose-27"/>
      <w:r>
        <w:t xml:space="preserve">28.1 Purpose</w:t>
      </w:r>
      <w:bookmarkEnd w:id="222"/>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3" w:name="data-model-25"/>
      <w:r>
        <w:t xml:space="preserve">28.2 Data model</w:t>
      </w:r>
      <w:bookmarkEnd w:id="22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4" w:name="business-rules-key-logic-24"/>
      <w:r>
        <w:t xml:space="preserve">28.3 Business rules / key logic</w:t>
      </w:r>
      <w:bookmarkEnd w:id="224"/>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5" w:name="api-endpoints-1"/>
      <w:r>
        <w:t xml:space="preserve">28.4 API endpoints</w:t>
      </w:r>
      <w:bookmarkEnd w:id="225"/>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26" w:name="frontend-22"/>
      <w:r>
        <w:t xml:space="preserve">28.5 Frontend</w:t>
      </w:r>
      <w:bookmarkEnd w:id="226"/>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7" w:name="Xb70c6964d4ba5bb2202c757bb5f67f3897f8f8c"/>
      <w:r>
        <w:t xml:space="preserve">28.6 Post-install configuration (do this after running the migration)</w:t>
      </w:r>
      <w:bookmarkEnd w:id="227"/>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8" w:name="known-issues-open-items"/>
      <w:r>
        <w:t xml:space="preserve">28.7 Known issues / open items</w:t>
      </w:r>
      <w:bookmarkEnd w:id="228"/>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pPr>
        <w:numPr>
          <w:ilvl w:val="0"/>
          <w:numId w:val="1068"/>
        </w:numPr>
        <w:pStyle w:val="Compact"/>
      </w:pPr>
      <w:r>
        <w:rPr>
          <w:b/>
        </w:rPr>
        <w:t xml:space="preserve">v1.30.0</w:t>
      </w:r>
      <w:r>
        <w:t xml:space="preserve">:</w:t>
      </w:r>
      <w:r>
        <w:t xml:space="preserve"> </w:t>
      </w:r>
      <w:r>
        <w:rPr>
          <w:rStyle w:val="VerbatimChar"/>
        </w:rPr>
        <w:t xml:space="preserve">recordPayment</w:t>
      </w:r>
      <w:r>
        <w:t xml:space="preserve"> </w:t>
      </w:r>
      <w:r>
        <w:t xml:space="preserve">and</w:t>
      </w:r>
      <w:r>
        <w:t xml:space="preserve"> </w:t>
      </w:r>
      <w:r>
        <w:rPr>
          <w:rStyle w:val="VerbatimChar"/>
        </w:rPr>
        <w:t xml:space="preserve">approveReimbursement</w:t>
      </w:r>
      <w:r>
        <w:t xml:space="preserve"> </w:t>
      </w:r>
      <w:r>
        <w:t xml:space="preserve">now also create a Payment Acknowledgement (Section 4.35) so the recipient can confirm each payment — self-service, works for the Administrative Officer role the same as everyone else since that route file deliberately doesn’t apply</w:t>
      </w:r>
      <w:r>
        <w:t xml:space="preserve"> </w:t>
      </w:r>
      <w:r>
        <w:rPr>
          <w:rStyle w:val="VerbatimChar"/>
        </w:rPr>
        <w:t xml:space="preserve">blockFinanceRestricted</w:t>
      </w:r>
      <w:r>
        <w:t xml:space="preserve">.</w:t>
      </w:r>
    </w:p>
    <w:p>
      <w:r>
        <w:pict>
          <v:rect style="width:0;height:1.5pt" o:hralign="center" o:hrstd="t" o:hr="t"/>
        </w:pict>
      </w:r>
    </w:p>
    <w:p>
      <w:pPr>
        <w:pStyle w:val="Heading4"/>
      </w:pPr>
      <w:bookmarkStart w:id="229" w:name="X40e7db7103a9661add94ddc1be47af0cc4994c5"/>
      <w:r>
        <w:t xml:space="preserve">29. Digital Consent &amp; Multi-Signatory Approval (v1.23.0)</w:t>
      </w:r>
      <w:bookmarkEnd w:id="229"/>
    </w:p>
    <w:p>
      <w:pPr>
        <w:pStyle w:val="Heading5"/>
      </w:pPr>
      <w:bookmarkStart w:id="230" w:name="purpose-28"/>
      <w:r>
        <w:t xml:space="preserve">29.1 Purpose</w:t>
      </w:r>
      <w:bookmarkEnd w:id="230"/>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1" w:name="data-model-26"/>
      <w:r>
        <w:t xml:space="preserve">29.2 Data model</w:t>
      </w:r>
      <w:bookmarkEnd w:id="231"/>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2" w:name="business-rules-key-logic-25"/>
      <w:r>
        <w:t xml:space="preserve">29.3 Business rules / key logic</w:t>
      </w:r>
      <w:bookmarkEnd w:id="232"/>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3" w:name="api-endpoints-2"/>
      <w:r>
        <w:t xml:space="preserve">29.4 API endpoints</w:t>
      </w:r>
      <w:bookmarkEnd w:id="2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4" w:name="Xd8a2bcca7501dc1bd15928d589e36f3dccbb18e"/>
      <w:r>
        <w:t xml:space="preserve">29.5 Monthly/annual certificate signing rounds, in detail</w:t>
      </w:r>
      <w:bookmarkEnd w:id="234"/>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5" w:name="frontend-23"/>
      <w:r>
        <w:t xml:space="preserve">29.6 Frontend</w:t>
      </w:r>
      <w:bookmarkEnd w:id="235"/>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6" w:name="known-issues-open-items-1"/>
      <w:r>
        <w:t xml:space="preserve">29.7 Known issues / open items</w:t>
      </w:r>
      <w:bookmarkEnd w:id="236"/>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7" w:name="company-stamps-seals-v1.24.0"/>
      <w:r>
        <w:t xml:space="preserve">30. Company Stamps &amp; Seals (v1.24.0)</w:t>
      </w:r>
      <w:bookmarkEnd w:id="237"/>
    </w:p>
    <w:p>
      <w:pPr>
        <w:pStyle w:val="Heading5"/>
      </w:pPr>
      <w:bookmarkStart w:id="238" w:name="purpose-29"/>
      <w:r>
        <w:t xml:space="preserve">30.1 Purpose</w:t>
      </w:r>
      <w:bookmarkEnd w:id="238"/>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9" w:name="data-model-27"/>
      <w:r>
        <w:t xml:space="preserve">30.2 Data model</w:t>
      </w:r>
      <w:bookmarkEnd w:id="239"/>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0" w:name="business-rules-key-logic-26"/>
      <w:r>
        <w:t xml:space="preserve">30.3 Business rules / key logic</w:t>
      </w:r>
      <w:bookmarkEnd w:id="240"/>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1" w:name="api-endpoints-3"/>
      <w:r>
        <w:t xml:space="preserve">30.4 API endpoints</w:t>
      </w:r>
      <w:bookmarkEnd w:id="24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2" w:name="frontend-24"/>
      <w:r>
        <w:t xml:space="preserve">30.5 Frontend</w:t>
      </w:r>
      <w:bookmarkEnd w:id="242"/>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3" w:name="known-issues-open-items-2"/>
      <w:r>
        <w:t xml:space="preserve">30.6 Known issues / open items</w:t>
      </w:r>
      <w:bookmarkEnd w:id="243"/>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4" w:name="X657dd6473e333297a809b5948a3bb70e2f0c591"/>
      <w:r>
        <w:t xml:space="preserve">31. Money Market Fund (MMF) Sub-Accounts (v1.28.0)</w:t>
      </w:r>
      <w:bookmarkEnd w:id="244"/>
    </w:p>
    <w:p>
      <w:pPr>
        <w:pStyle w:val="Heading5"/>
      </w:pPr>
      <w:bookmarkStart w:id="245" w:name="purpose-30"/>
      <w:r>
        <w:t xml:space="preserve">31.1 Purpose</w:t>
      </w:r>
      <w:bookmarkEnd w:id="245"/>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46" w:name="data-model-28"/>
      <w:r>
        <w:t xml:space="preserve">31.2 Data model</w:t>
      </w:r>
      <w:bookmarkEnd w:id="246"/>
    </w:p>
    <w:p>
      <w:pPr>
        <w:numPr>
          <w:ilvl w:val="0"/>
          <w:numId w:val="1078"/>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8"/>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8"/>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8"/>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47" w:name="business-rules-key-logic-27"/>
      <w:r>
        <w:t xml:space="preserve">31.3 Business rules / key logic</w:t>
      </w:r>
      <w:bookmarkEnd w:id="247"/>
    </w:p>
    <w:p>
      <w:pPr>
        <w:numPr>
          <w:ilvl w:val="0"/>
          <w:numId w:val="1079"/>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79"/>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79"/>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79"/>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79"/>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79"/>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79"/>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48"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49" w:name="frontend-25"/>
      <w:r>
        <w:t xml:space="preserve">31.5 Frontend</w:t>
      </w:r>
      <w:bookmarkEnd w:id="249"/>
    </w:p>
    <w:p>
      <w:pPr>
        <w:numPr>
          <w:ilvl w:val="0"/>
          <w:numId w:val="1080"/>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0"/>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0"/>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0"/>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0" w:name="known-issues-open-items-3"/>
      <w:r>
        <w:t xml:space="preserve">31.6 Known issues / open items</w:t>
      </w:r>
      <w:bookmarkEnd w:id="250"/>
    </w:p>
    <w:p>
      <w:pPr>
        <w:numPr>
          <w:ilvl w:val="0"/>
          <w:numId w:val="1081"/>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1"/>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1" w:name="chart-of-accounts-v1.28.0"/>
      <w:r>
        <w:t xml:space="preserve">32. Chart of Accounts (v1.28.0)</w:t>
      </w:r>
      <w:bookmarkEnd w:id="251"/>
    </w:p>
    <w:p>
      <w:pPr>
        <w:pStyle w:val="Heading5"/>
      </w:pPr>
      <w:bookmarkStart w:id="252" w:name="purpose-31"/>
      <w:r>
        <w:t xml:space="preserve">32.1 Purpose</w:t>
      </w:r>
      <w:bookmarkEnd w:id="252"/>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3" w:name="data-model-29"/>
      <w:r>
        <w:t xml:space="preserve">32.2 Data model</w:t>
      </w:r>
      <w:bookmarkEnd w:id="253"/>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4" w:name="business-rules-key-logic-28"/>
      <w:r>
        <w:t xml:space="preserve">32.3 Business rules / key logic</w:t>
      </w:r>
      <w:bookmarkEnd w:id="254"/>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5" w:name="api-endpoints-4"/>
      <w:r>
        <w:t xml:space="preserve">32.4 API endpoints</w:t>
      </w:r>
      <w:bookmarkEnd w:id="25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56" w:name="frontend-26"/>
      <w:r>
        <w:t xml:space="preserve">32.5 Frontend</w:t>
      </w:r>
      <w:bookmarkEnd w:id="256"/>
    </w:p>
    <w:p>
      <w:pPr>
        <w:numPr>
          <w:ilvl w:val="0"/>
          <w:numId w:val="1082"/>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57" w:name="known-issues-open-items-4"/>
      <w:r>
        <w:t xml:space="preserve">32.6 Known issues / open items</w:t>
      </w:r>
      <w:bookmarkEnd w:id="257"/>
    </w:p>
    <w:p>
      <w:pPr>
        <w:numPr>
          <w:ilvl w:val="0"/>
          <w:numId w:val="1083"/>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3"/>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58" w:name="capital-goals-v1.29.0"/>
      <w:r>
        <w:t xml:space="preserve">33. Capital Goals (v1.29.0)</w:t>
      </w:r>
      <w:bookmarkEnd w:id="258"/>
    </w:p>
    <w:p>
      <w:pPr>
        <w:pStyle w:val="Heading5"/>
      </w:pPr>
      <w:bookmarkStart w:id="259" w:name="purpose-32"/>
      <w:r>
        <w:t xml:space="preserve">33.1 Purpose</w:t>
      </w:r>
      <w:bookmarkEnd w:id="259"/>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0" w:name="data-model-30"/>
      <w:r>
        <w:t xml:space="preserve">33.2 Data model</w:t>
      </w:r>
      <w:bookmarkEnd w:id="260"/>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1" w:name="business-rules-key-logic-29"/>
      <w:r>
        <w:t xml:space="preserve">33.3 Business rules / key logic</w:t>
      </w:r>
      <w:bookmarkEnd w:id="261"/>
    </w:p>
    <w:p>
      <w:pPr>
        <w:numPr>
          <w:ilvl w:val="0"/>
          <w:numId w:val="1084"/>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4"/>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4"/>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4"/>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4"/>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4"/>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4"/>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2"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3" w:name="frontend-27"/>
      <w:r>
        <w:t xml:space="preserve">33.5 Frontend</w:t>
      </w:r>
      <w:bookmarkEnd w:id="263"/>
    </w:p>
    <w:p>
      <w:pPr>
        <w:numPr>
          <w:ilvl w:val="0"/>
          <w:numId w:val="1085"/>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5"/>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5"/>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5"/>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4" w:name="known-issues-open-items-5"/>
      <w:r>
        <w:t xml:space="preserve">33.6 Known issues / open items</w:t>
      </w:r>
      <w:bookmarkEnd w:id="264"/>
    </w:p>
    <w:p>
      <w:pPr>
        <w:numPr>
          <w:ilvl w:val="0"/>
          <w:numId w:val="1086"/>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6"/>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5" w:name="storage-service-v1.29.1"/>
      <w:r>
        <w:t xml:space="preserve">34. Storage Service (v1.29.1)</w:t>
      </w:r>
      <w:bookmarkEnd w:id="265"/>
    </w:p>
    <w:p>
      <w:pPr>
        <w:pStyle w:val="Heading5"/>
      </w:pPr>
      <w:bookmarkStart w:id="266" w:name="purpose-33"/>
      <w:r>
        <w:t xml:space="preserve">34.1 Purpose</w:t>
      </w:r>
      <w:bookmarkEnd w:id="266"/>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67" w:name="X6787a9ce311922304fa07aec291dfc76d0c53a8"/>
      <w:r>
        <w:t xml:space="preserve">34.2 How it works (</w:t>
      </w:r>
      <w:r>
        <w:rPr>
          <w:rStyle w:val="VerbatimChar"/>
        </w:rPr>
        <w:t xml:space="preserve">cms/src/services/storageService.js</w:t>
      </w:r>
      <w:r>
        <w:t xml:space="preserve">)</w:t>
      </w:r>
      <w:bookmarkEnd w:id="267"/>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68" w:name="X674b1d395ad76145e0def0ae51ab6116dc9a080"/>
      <w:r>
        <w:t xml:space="preserve">34.3 Two serving patterns, preserved exactly as before</w:t>
      </w:r>
      <w:bookmarkEnd w:id="268"/>
    </w:p>
    <w:p>
      <w:pPr>
        <w:numPr>
          <w:ilvl w:val="0"/>
          <w:numId w:val="1087"/>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7"/>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69" w:name="X6e1ba99b892690966a46b2c6290e2c8d5de9691"/>
      <w:r>
        <w:t xml:space="preserve">34.4 Upload middleware change (</w:t>
      </w:r>
      <w:r>
        <w:rPr>
          <w:rStyle w:val="VerbatimChar"/>
        </w:rPr>
        <w:t xml:space="preserve">cms/src/middleware/upload.js</w:t>
      </w:r>
      <w:r>
        <w:t xml:space="preserve">)</w:t>
      </w:r>
      <w:bookmarkEnd w:id="269"/>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0" w:name="deployment"/>
      <w:r>
        <w:t xml:space="preserve">34.5 Deployment</w:t>
      </w:r>
      <w:bookmarkEnd w:id="270"/>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1" w:name="known-issues-open-items-6"/>
      <w:r>
        <w:t xml:space="preserve">34.6 Known issues / open items</w:t>
      </w:r>
      <w:bookmarkEnd w:id="271"/>
    </w:p>
    <w:p>
      <w:pPr>
        <w:numPr>
          <w:ilvl w:val="0"/>
          <w:numId w:val="1088"/>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8"/>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4"/>
      </w:pPr>
      <w:bookmarkStart w:id="272" w:name="payment-acknowledgements-v1.30.0"/>
      <w:r>
        <w:t xml:space="preserve">35. Payment Acknowledgements (v1.30.0)</w:t>
      </w:r>
      <w:bookmarkEnd w:id="272"/>
    </w:p>
    <w:p>
      <w:pPr>
        <w:pStyle w:val="Heading5"/>
      </w:pPr>
      <w:bookmarkStart w:id="273" w:name="purpose-34"/>
      <w:r>
        <w:t xml:space="preserve">35.1 Purpose</w:t>
      </w:r>
      <w:bookmarkEnd w:id="273"/>
    </w:p>
    <w:p>
      <w:pPr>
        <w:pStyle w:val="FirstParagraph"/>
      </w:pPr>
      <w:r>
        <w:t xml:space="preserve">A two-way, two-step confirmation record for money paid</w:t>
      </w:r>
      <w:r>
        <w:t xml:space="preserve"> </w:t>
      </w:r>
      <w:r>
        <w:rPr>
          <w:b/>
        </w:rPr>
        <w:t xml:space="preserve">out</w:t>
      </w:r>
      <w:r>
        <w:t xml:space="preserve"> </w:t>
      </w:r>
      <w:r>
        <w:t xml:space="preserve">to an individual — the mirror image of the existing requisitions</w:t>
      </w:r>
      <w:r>
        <w:t xml:space="preserve"> </w:t>
      </w:r>
      <w:r>
        <w:t xml:space="preserve">“</w:t>
      </w:r>
      <w:r>
        <w:t xml:space="preserve">acknowledgement</w:t>
      </w:r>
      <w:r>
        <w:t xml:space="preserve">”</w:t>
      </w:r>
      <w:r>
        <w:t xml:space="preserve"> </w:t>
      </w:r>
      <w:r>
        <w:t xml:space="preserve">types (Section 9), which are a member confirming money they already paid</w:t>
      </w:r>
      <w:r>
        <w:t xml:space="preserve"> </w:t>
      </w:r>
      <w:r>
        <w:rPr>
          <w:b/>
        </w:rPr>
        <w:t xml:space="preserve">in</w:t>
      </w:r>
      <w:r>
        <w:t xml:space="preserve">. Covers every payout this system currently makes to a specific person: dividend distributions, monthly service fee payments, and expense reimbursements. The recipient reviews the amount and stated purpose and either acknowledges it or disputes it; once acknowledged, a Treasurer/Director gives a final sign-off, at which point a two-party printable document (naming both who paid and who received) becomes available. Requested directly:</w:t>
      </w:r>
      <w:r>
        <w:t xml:space="preserve"> </w:t>
      </w:r>
      <w:r>
        <w:t xml:space="preserve">“</w:t>
      </w:r>
      <w:r>
        <w:t xml:space="preserve">when someone receives money from the accounts on their individual accounts they approve the amount and of what purpose that money served after reviewing it… this acknowledgement is sent to the recipient… and from the treasury or directory… both parties are recorded in the document and then again approved by the treasurer or director after recipient acknowledges.</w:t>
      </w:r>
      <w:r>
        <w:t xml:space="preserve">”</w:t>
      </w:r>
    </w:p>
    <w:p>
      <w:pPr>
        <w:pStyle w:val="Heading5"/>
      </w:pPr>
      <w:bookmarkStart w:id="274" w:name="data-model-31"/>
      <w:r>
        <w:t xml:space="preserve">35.2 Data model</w:t>
      </w:r>
      <w:bookmarkEnd w:id="274"/>
    </w:p>
    <w:p>
      <w:pPr>
        <w:pStyle w:val="FirstParagraph"/>
      </w:pPr>
      <w:r>
        <w:rPr>
          <w:rStyle w:val="VerbatimChar"/>
          <w:b/>
        </w:rPr>
        <w:t xml:space="preserve">payment_acknowledgements</w:t>
      </w:r>
      <w:r>
        <w:t xml:space="preserve">: id, reference_id, source_type (</w:t>
      </w:r>
      <w:r>
        <w:rPr>
          <w:rStyle w:val="VerbatimChar"/>
        </w:rPr>
        <w:t xml:space="preserve">DIVIDEND</w:t>
      </w:r>
      <w:r>
        <w:t xml:space="preserve"> </w:t>
      </w:r>
      <w:r>
        <w:t xml:space="preserve">/</w:t>
      </w:r>
      <w:r>
        <w:t xml:space="preserve"> </w:t>
      </w:r>
      <w:r>
        <w:rPr>
          <w:rStyle w:val="VerbatimChar"/>
        </w:rPr>
        <w:t xml:space="preserve">SERVICE_FEE_PAYMENT</w:t>
      </w:r>
      <w:r>
        <w:t xml:space="preserve"> </w:t>
      </w:r>
      <w:r>
        <w:t xml:space="preserve">/</w:t>
      </w:r>
      <w:r>
        <w:t xml:space="preserve"> </w:t>
      </w:r>
      <w:r>
        <w:rPr>
          <w:rStyle w:val="VerbatimChar"/>
        </w:rPr>
        <w:t xml:space="preserve">REIMBURSEMENT</w:t>
      </w:r>
      <w:r>
        <w:t xml:space="preserve"> </w:t>
      </w:r>
      <w:r>
        <w:t xml:space="preserve">— a CHECK list, deliberately easy to extend with more payout types later rather than a free-form polymorphic field), source_id (points at the specific</w:t>
      </w:r>
      <w:r>
        <w:t xml:space="preserve"> </w:t>
      </w:r>
      <w:r>
        <w:rPr>
          <w:rStyle w:val="VerbatimChar"/>
        </w:rPr>
        <w:t xml:space="preserve">dividend_distributions</w:t>
      </w:r>
      <w:r>
        <w:t xml:space="preserve"> </w:t>
      </w:r>
      <w:r>
        <w:t xml:space="preserve">/</w:t>
      </w:r>
      <w:r>
        <w:t xml:space="preserve"> </w:t>
      </w:r>
      <w:r>
        <w:rPr>
          <w:rStyle w:val="VerbatimChar"/>
        </w:rPr>
        <w:t xml:space="preserve">service_fee_payments</w:t>
      </w:r>
      <w:r>
        <w:t xml:space="preserve"> </w:t>
      </w:r>
      <w:r>
        <w:t xml:space="preserve">/</w:t>
      </w:r>
      <w:r>
        <w:t xml:space="preserve"> </w:t>
      </w:r>
      <w:r>
        <w:rPr>
          <w:rStyle w:val="VerbatimChar"/>
        </w:rPr>
        <w:t xml:space="preserve">service_reimbursement_requests</w:t>
      </w:r>
      <w:r>
        <w:t xml:space="preserve"> </w:t>
      </w:r>
      <w:r>
        <w:t xml:space="preserve">row), transaction_id (the real ledger transaction that moved the money), payer_id, recipient_id, amount, currency_id, purpose, status (</w:t>
      </w:r>
      <w:r>
        <w:rPr>
          <w:rStyle w:val="VerbatimChar"/>
        </w:rPr>
        <w:t xml:space="preserve">PENDING_ACK</w:t>
      </w:r>
      <w:r>
        <w:t xml:space="preserve"> </w:t>
      </w:r>
      <w:r>
        <w:t xml:space="preserve">/</w:t>
      </w:r>
      <w:r>
        <w:t xml:space="preserve"> </w:t>
      </w:r>
      <w:r>
        <w:rPr>
          <w:rStyle w:val="VerbatimChar"/>
        </w:rPr>
        <w:t xml:space="preserve">ACKNOWLEDGED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FINAL_APPROVED</w:t>
      </w:r>
      <w:r>
        <w:t xml:space="preserve">), acknowledged_at, acknowledgement_note, dispute_reason, disputed_at, final_approved_by, final_approved_at, created_at.</w:t>
      </w:r>
    </w:p>
    <w:p>
      <w:pPr>
        <w:pStyle w:val="BodyText"/>
      </w:pPr>
      <w:r>
        <w:rPr>
          <w:rStyle w:val="VerbatimChar"/>
        </w:rPr>
        <w:t xml:space="preserve">amount</w:t>
      </w:r>
      <w:r>
        <w:t xml:space="preserve">/</w:t>
      </w:r>
      <w:r>
        <w:rPr>
          <w:rStyle w:val="VerbatimChar"/>
        </w:rPr>
        <w:t xml:space="preserve">currency_id</w:t>
      </w:r>
      <w:r>
        <w:t xml:space="preserve">/</w:t>
      </w:r>
      <w:r>
        <w:rPr>
          <w:rStyle w:val="VerbatimChar"/>
        </w:rPr>
        <w:t xml:space="preserve">purpose</w:t>
      </w:r>
      <w:r>
        <w:t xml:space="preserve"> </w:t>
      </w:r>
      <w:r>
        <w:t xml:space="preserve">are a</w:t>
      </w:r>
      <w:r>
        <w:t xml:space="preserve"> </w:t>
      </w:r>
      <w:r>
        <w:rPr>
          <w:b/>
        </w:rPr>
        <w:t xml:space="preserve">point-in-time snapshot</w:t>
      </w:r>
      <w:r>
        <w:t xml:space="preserve"> </w:t>
      </w:r>
      <w:r>
        <w:t xml:space="preserve">taken when the row is created, not read live off the source record — so the printed acknowledgement always reflects exactly what the recipient actually reviewed and signed off on, even if the underlying agreement/category is edited or renamed afterwards.</w:t>
      </w:r>
    </w:p>
    <w:p>
      <w:pPr>
        <w:pStyle w:val="Heading5"/>
      </w:pPr>
      <w:bookmarkStart w:id="275" w:name="business-rules-key-logic-30"/>
      <w:r>
        <w:t xml:space="preserve">35.3 Business rules / key logic</w:t>
      </w:r>
      <w:bookmarkEnd w:id="275"/>
    </w:p>
    <w:p>
      <w:pPr>
        <w:numPr>
          <w:ilvl w:val="0"/>
          <w:numId w:val="1089"/>
        </w:numPr>
        <w:pStyle w:val="Compact"/>
      </w:pPr>
      <w:r>
        <w:rPr>
          <w:b/>
        </w:rPr>
        <w:t xml:space="preserve">Always system-created, never created by hand.</w:t>
      </w:r>
      <w:r>
        <w:t xml:space="preserve"> </w:t>
      </w:r>
      <w:r>
        <w:rPr>
          <w:rStyle w:val="VerbatimChar"/>
        </w:rPr>
        <w:t xml:space="preserve">paymentAcknowledgementsController.createPaymentAcknowledgement()</w:t>
      </w:r>
      <w:r>
        <w:t xml:space="preserve"> </w:t>
      </w:r>
      <w:r>
        <w:t xml:space="preserve">is called from inside the same database transaction as the real payment, immediately after it posts —</w:t>
      </w:r>
      <w:r>
        <w:t xml:space="preserve"> </w:t>
      </w:r>
      <w:r>
        <w:rPr>
          <w:rStyle w:val="VerbatimChar"/>
        </w:rPr>
        <w:t xml:space="preserve">dividendsController.approveDividend</w:t>
      </w:r>
      <w:r>
        <w:t xml:space="preserve"> </w:t>
      </w:r>
      <w:r>
        <w:t xml:space="preserve">(once per shareholder distribution),</w:t>
      </w:r>
      <w:r>
        <w:t xml:space="preserve"> </w:t>
      </w:r>
      <w:r>
        <w:rPr>
          <w:rStyle w:val="VerbatimChar"/>
        </w:rPr>
        <w:t xml:space="preserve">serviceFeesController.recordPayment</w:t>
      </w:r>
      <w:r>
        <w:t xml:space="preserve">, and</w:t>
      </w:r>
      <w:r>
        <w:t xml:space="preserve"> </w:t>
      </w:r>
      <w:r>
        <w:rPr>
          <w:rStyle w:val="VerbatimChar"/>
        </w:rPr>
        <w:t xml:space="preserve">serviceFeesController.approveReimbursement</w:t>
      </w:r>
      <w:r>
        <w:t xml:space="preserve">. If the payment succeeds, the acknowledgement row exists; there is no path where a payment posts without a matching acknowledgement.</w:t>
      </w:r>
    </w:p>
    <w:p>
      <w:pPr>
        <w:numPr>
          <w:ilvl w:val="0"/>
          <w:numId w:val="1089"/>
        </w:numPr>
        <w:pStyle w:val="Compact"/>
      </w:pPr>
      <w:r>
        <w:rPr>
          <w:b/>
        </w:rPr>
        <w:t xml:space="preserve">Step 1 — recipient reviews and acts.</w:t>
      </w:r>
      <w:r>
        <w:t xml:space="preserve"> </w:t>
      </w:r>
      <w:r>
        <w:rPr>
          <w:rStyle w:val="VerbatimChar"/>
        </w:rPr>
        <w:t xml:space="preserve">POST /:id/acknowledge</w:t>
      </w:r>
      <w:r>
        <w:t xml:space="preserve"> </w:t>
      </w:r>
      <w:r>
        <w:t xml:space="preserve">(self-service, PENDING_ACK or DISPUTED → ACKNOWLEDGED, optional note) confirms the snapshot is correct.</w:t>
      </w:r>
      <w:r>
        <w:t xml:space="preserve"> </w:t>
      </w:r>
      <w:r>
        <w:rPr>
          <w:rStyle w:val="VerbatimChar"/>
        </w:rPr>
        <w:t xml:space="preserve">POST /:id/dispute</w:t>
      </w:r>
      <w:r>
        <w:t xml:space="preserve"> </w:t>
      </w:r>
      <w:r>
        <w:t xml:space="preserve">(self-service, PENDING_ACK → DISPUTED, reason required) flags it for Treasury attention.</w:t>
      </w:r>
      <w:r>
        <w:t xml:space="preserve"> </w:t>
      </w:r>
      <w:r>
        <w:rPr>
          <w:b/>
        </w:rPr>
        <w:t xml:space="preserve">Neither action reverses, re-posts, or otherwise touches the underlying payment or ledger</w:t>
      </w:r>
      <w:r>
        <w:t xml:space="preserve"> </w:t>
      </w:r>
      <w:r>
        <w:t xml:space="preserve">— this is a paper-trail confirmation step, not a second approval of the money movement itself, deliberately mirroring how Dividends/Reimbursements already keep</w:t>
      </w:r>
      <w:r>
        <w:t xml:space="preserve"> </w:t>
      </w:r>
      <w:r>
        <w:t xml:space="preserve">“</w:t>
      </w:r>
      <w:r>
        <w:t xml:space="preserve">the payment is final once posted</w:t>
      </w:r>
      <w:r>
        <w:t xml:space="preserve">”</w:t>
      </w:r>
      <w:r>
        <w:t xml:space="preserve"> </w:t>
      </w:r>
      <w:r>
        <w:t xml:space="preserve">as a hard boundary (Sections 4.12, 4.28).</w:t>
      </w:r>
    </w:p>
    <w:p>
      <w:pPr>
        <w:numPr>
          <w:ilvl w:val="0"/>
          <w:numId w:val="1089"/>
        </w:numPr>
        <w:pStyle w:val="Compact"/>
      </w:pPr>
      <w:r>
        <w:rPr>
          <w:b/>
        </w:rPr>
        <w:t xml:space="preserve">Step 2 — final sign-off.</w:t>
      </w:r>
      <w:r>
        <w:t xml:space="preserve"> </w:t>
      </w:r>
      <w:r>
        <w:rPr>
          <w:rStyle w:val="VerbatimChar"/>
        </w:rPr>
        <w:t xml:space="preserve">POST /:id/final-approve</w:t>
      </w:r>
      <w:r>
        <w:t xml:space="preserve"> </w:t>
      </w:r>
      <w:r>
        <w:t xml:space="preserve">(ACKNOWLEDGED → FINAL_APPROVED) requires</w:t>
      </w:r>
      <w:r>
        <w:t xml:space="preserve"> </w:t>
      </w:r>
      <w:r>
        <w:rPr>
          <w:rStyle w:val="VerbatimChar"/>
        </w:rPr>
        <w:t xml:space="preserve">PAYMENT_ACK_MANAGE</w:t>
      </w:r>
      <w:r>
        <w:t xml:space="preserve"> </w:t>
      </w:r>
      <w:r>
        <w:t xml:space="preserve">— starts ungranted for every role including Admin, per this system’s standing convention for new permissions (an Admin must grant it via Settings → Roles &amp; Permissions before anyone can use it). Not required to be a different person from the original payer.</w:t>
      </w:r>
    </w:p>
    <w:p>
      <w:pPr>
        <w:numPr>
          <w:ilvl w:val="0"/>
          <w:numId w:val="1089"/>
        </w:numPr>
        <w:pStyle w:val="Compact"/>
      </w:pPr>
      <w:r>
        <w:rPr>
          <w:b/>
        </w:rPr>
        <w:t xml:space="preserve">Reopening a dispute.</w:t>
      </w:r>
      <w:r>
        <w:t xml:space="preserve"> </w:t>
      </w:r>
      <w:r>
        <w:rPr>
          <w:rStyle w:val="VerbatimChar"/>
        </w:rPr>
        <w:t xml:space="preserve">POST /:id/reopen</w:t>
      </w:r>
      <w:r>
        <w:t xml:space="preserve"> </w:t>
      </w:r>
      <w:r>
        <w:t xml:space="preserve">(DISPUTED → PENDING_ACK,</w:t>
      </w:r>
      <w:r>
        <w:t xml:space="preserve"> </w:t>
      </w:r>
      <w:r>
        <w:rPr>
          <w:rStyle w:val="VerbatimChar"/>
        </w:rPr>
        <w:t xml:space="preserve">PAYMENT_ACK_MANAGE</w:t>
      </w:r>
      <w:r>
        <w:t xml:space="preserve">) — for once whatever the recipient flagged has been sorted out off-system (a phone call, a corrected figure elsewhere); puts the record back in front of the recipient to acknowledge again rather than needing a brand-new row.</w:t>
      </w:r>
    </w:p>
    <w:p>
      <w:pPr>
        <w:numPr>
          <w:ilvl w:val="0"/>
          <w:numId w:val="1089"/>
        </w:numPr>
        <w:pStyle w:val="Compact"/>
      </w:pPr>
      <w:r>
        <w:rPr>
          <w:b/>
        </w:rPr>
        <w:t xml:space="preserve">Who gets notified.</w:t>
      </w:r>
      <w:r>
        <w:t xml:space="preserve"> </w:t>
      </w:r>
      <w:r>
        <w:t xml:space="preserve">Creation notifies the recipient (</w:t>
      </w:r>
      <w:r>
        <w:t xml:space="preserve">“</w:t>
      </w:r>
      <w:r>
        <w:t xml:space="preserve">please confirm</w:t>
      </w:r>
      <w:r>
        <w:t xml:space="preserve">”</w:t>
      </w:r>
      <w:r>
        <w:t xml:space="preserve">); acknowledging or disputing notifies everyone holding Treasurer/Assistant Treasurer/Director/Admin (</w:t>
      </w:r>
      <w:r>
        <w:rPr>
          <w:rStyle w:val="VerbatimChar"/>
        </w:rPr>
        <w:t xml:space="preserve">getFinalApprovers()</w:t>
      </w:r>
      <w:r>
        <w:t xml:space="preserve">, same shape as</w:t>
      </w:r>
      <w:r>
        <w:t xml:space="preserve"> </w:t>
      </w:r>
      <w:r>
        <w:rPr>
          <w:rStyle w:val="VerbatimChar"/>
        </w:rPr>
        <w:t xml:space="preserve">serviceFeesController</w:t>
      </w:r>
      <w:r>
        <w:t xml:space="preserve">’s own</w:t>
      </w:r>
      <w:r>
        <w:t xml:space="preserve"> </w:t>
      </w:r>
      <w:r>
        <w:rPr>
          <w:rStyle w:val="VerbatimChar"/>
        </w:rPr>
        <w:t xml:space="preserve">getTreasurers()</w:t>
      </w:r>
      <w:r>
        <w:t xml:space="preserve"> </w:t>
      </w:r>
      <w:r>
        <w:t xml:space="preserve">helper) that action is needed; final approval notifies the recipient that a printable copy is ready. All best-effort bell + email, same</w:t>
      </w:r>
      <w:r>
        <w:t xml:space="preserve"> </w:t>
      </w:r>
      <w:r>
        <w:rPr>
          <w:rStyle w:val="VerbatimChar"/>
        </w:rPr>
        <w:t xml:space="preserve">notify()</w:t>
      </w:r>
      <w:r>
        <w:t xml:space="preserve">/</w:t>
      </w:r>
      <w:r>
        <w:rPr>
          <w:rStyle w:val="VerbatimChar"/>
        </w:rPr>
        <w:t xml:space="preserve">notifyMany()</w:t>
      </w:r>
      <w:r>
        <w:t xml:space="preserve"> </w:t>
      </w:r>
      <w:r>
        <w:t xml:space="preserve">pattern used everywhere else in this codebase.</w:t>
      </w:r>
    </w:p>
    <w:p>
      <w:pPr>
        <w:numPr>
          <w:ilvl w:val="0"/>
          <w:numId w:val="1089"/>
        </w:numPr>
        <w:pStyle w:val="Compact"/>
      </w:pPr>
      <w:r>
        <w:rPr>
          <w:b/>
        </w:rPr>
        <w:t xml:space="preserve">Self-service access is not permission-gated.</w:t>
      </w:r>
      <w:r>
        <w:t xml:space="preserve"> </w:t>
      </w:r>
      <w:r>
        <w:t xml:space="preserve">Viewing/acknowledging/disputing your own records works for any authenticated user, including the Administrative Officer role — unlike most finance-adjacent routes, this route file does</w:t>
      </w:r>
      <w:r>
        <w:t xml:space="preserve"> </w:t>
      </w:r>
      <w:r>
        <w:rPr>
          <w:b/>
        </w:rPr>
        <w:t xml:space="preserve">not</w:t>
      </w:r>
      <w:r>
        <w:t xml:space="preserve"> </w:t>
      </w:r>
      <w:r>
        <w:t xml:space="preserve">apply</w:t>
      </w:r>
      <w:r>
        <w:t xml:space="preserve"> </w:t>
      </w:r>
      <w:r>
        <w:rPr>
          <w:rStyle w:val="VerbatimChar"/>
        </w:rPr>
        <w:t xml:space="preserve">blockFinanceRestricted</w:t>
      </w:r>
      <w:r>
        <w:t xml:space="preserve">, since an Administrative Officer is a legitimate recipient of their own service fee payments (same reasoning</w:t>
      </w:r>
      <w:r>
        <w:t xml:space="preserve"> </w:t>
      </w:r>
      <w:r>
        <w:rPr>
          <w:rStyle w:val="VerbatimChar"/>
        </w:rPr>
        <w:t xml:space="preserve">routes/serviceFees.js</w:t>
      </w:r>
      <w:r>
        <w:t xml:space="preserve"> </w:t>
      </w:r>
      <w:r>
        <w:t xml:space="preserve">already follows for its own self-service endpoints, Section 28).</w:t>
      </w:r>
    </w:p>
    <w:p>
      <w:pPr>
        <w:pStyle w:val="Heading5"/>
      </w:pPr>
      <w:bookmarkStart w:id="276" w:name="X3c98446464f7f76e2ed0774b5db2be0598dc544"/>
      <w:r>
        <w:t xml:space="preserve">35.4 API endpoints (</w:t>
      </w:r>
      <w:r>
        <w:rPr>
          <w:rStyle w:val="VerbatimChar"/>
        </w:rPr>
        <w:t xml:space="preserve">cms/src/routes/paymentAcknowledgements.js</w:t>
      </w:r>
      <w:r>
        <w:t xml:space="preserve">, prefix</w:t>
      </w:r>
      <w:r>
        <w:t xml:space="preserve"> </w:t>
      </w:r>
      <w:r>
        <w:rPr>
          <w:rStyle w:val="VerbatimChar"/>
        </w:rPr>
        <w:t xml:space="preserve">/api/payment-acknowledgements</w:t>
      </w:r>
      <w:r>
        <w:t xml:space="preserve">)</w:t>
      </w:r>
      <w:bookmarkEnd w:id="27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acknowledgements (all statuses)</w:t>
            </w:r>
          </w:p>
        </w:tc>
      </w:tr>
      <w:tr>
        <w:tc>
          <w:p>
            <w:pPr>
              <w:pStyle w:val="Compact"/>
              <w:jc w:val="left"/>
            </w:pPr>
            <w:r>
              <w:t xml:space="preserve">POST</w:t>
            </w:r>
          </w:p>
        </w:tc>
        <w:tc>
          <w:p>
            <w:pPr>
              <w:pStyle w:val="Compact"/>
              <w:jc w:val="left"/>
            </w:pPr>
            <w:r>
              <w:rPr>
                <w:rStyle w:val="VerbatimChar"/>
              </w:rPr>
              <w:t xml:space="preserve">/:id/acknowledge</w:t>
            </w:r>
          </w:p>
        </w:tc>
        <w:tc>
          <w:p>
            <w:pPr>
              <w:pStyle w:val="Compact"/>
              <w:jc w:val="left"/>
            </w:pPr>
            <w:r>
              <w:t xml:space="preserve">Recipient only</w:t>
            </w:r>
          </w:p>
        </w:tc>
        <w:tc>
          <w:p>
            <w:pPr>
              <w:pStyle w:val="Compact"/>
              <w:jc w:val="left"/>
            </w:pPr>
            <w:r>
              <w:t xml:space="preserve">Confirm receipt (PENDING_ACK/DISPUTED → ACKNOWLEDGED)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(PENDING_ACK → DISPUTED)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acknowledgement, filterable by status/source_type</w:t>
            </w:r>
          </w:p>
        </w:tc>
      </w:tr>
      <w:tr>
        <w:tc>
          <w:p>
            <w:pPr>
              <w:pStyle w:val="Compact"/>
              <w:jc w:val="left"/>
            </w:pPr>
            <w:r>
              <w:t xml:space="preserve">POST</w:t>
            </w:r>
          </w:p>
        </w:tc>
        <w:tc>
          <w:p>
            <w:pPr>
              <w:pStyle w:val="Compact"/>
              <w:jc w:val="left"/>
            </w:pPr>
            <w:r>
              <w:rPr>
                <w:rStyle w:val="VerbatimChar"/>
              </w:rPr>
              <w:t xml:space="preserve">/:id/reopen</w:t>
            </w:r>
          </w:p>
        </w:tc>
        <w:tc>
          <w:p>
            <w:pPr>
              <w:pStyle w:val="Compact"/>
              <w:jc w:val="left"/>
            </w:pPr>
            <w:r>
              <w:rPr>
                <w:rStyle w:val="VerbatimChar"/>
              </w:rPr>
              <w:t xml:space="preserve">PAYMENT_ACK_MANAGE</w:t>
            </w:r>
          </w:p>
        </w:tc>
        <w:tc>
          <w:p>
            <w:pPr>
              <w:pStyle w:val="Compact"/>
              <w:jc w:val="left"/>
            </w:pPr>
            <w:r>
              <w:t xml:space="preserve">DISPUTED → PENDING_ACK</w:t>
            </w:r>
          </w:p>
        </w:tc>
      </w:tr>
      <w:tr>
        <w:tc>
          <w:p>
            <w:pPr>
              <w:pStyle w:val="Compact"/>
              <w:jc w:val="left"/>
            </w:pPr>
            <w:r>
              <w:t xml:space="preserve">POST</w:t>
            </w:r>
          </w:p>
        </w:tc>
        <w:tc>
          <w:p>
            <w:pPr>
              <w:pStyle w:val="Compact"/>
              <w:jc w:val="left"/>
            </w:pPr>
            <w:r>
              <w:rPr>
                <w:rStyle w:val="VerbatimChar"/>
              </w:rPr>
              <w:t xml:space="preserve">/:id/final-approve</w:t>
            </w:r>
          </w:p>
        </w:tc>
        <w:tc>
          <w:p>
            <w:pPr>
              <w:pStyle w:val="Compact"/>
              <w:jc w:val="left"/>
            </w:pPr>
            <w:r>
              <w:rPr>
                <w:rStyle w:val="VerbatimChar"/>
              </w:rPr>
              <w:t xml:space="preserve">PAYMENT_ACK_MANAGE</w:t>
            </w:r>
          </w:p>
        </w:tc>
        <w:tc>
          <w:p>
            <w:pPr>
              <w:pStyle w:val="Compact"/>
              <w:jc w:val="left"/>
            </w:pPr>
            <w:r>
              <w:t xml:space="preserve">ACKNOWLEDGED → FINAL_APPROVED</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 used for the printable document</w:t>
            </w:r>
          </w:p>
        </w:tc>
      </w:tr>
    </w:tbl>
    <w:p>
      <w:pPr>
        <w:pStyle w:val="Heading5"/>
      </w:pPr>
      <w:bookmarkStart w:id="277" w:name="frontend-28"/>
      <w:r>
        <w:t xml:space="preserve">35.5 Frontend</w:t>
      </w:r>
      <w:bookmarkEnd w:id="277"/>
    </w:p>
    <w:p>
      <w:pPr>
        <w:numPr>
          <w:ilvl w:val="0"/>
          <w:numId w:val="1090"/>
        </w:numPr>
        <w:pStyle w:val="Compact"/>
      </w:pPr>
      <w:r>
        <w:rPr>
          <w:rStyle w:val="VerbatimChar"/>
          <w:b/>
        </w:rPr>
        <w:t xml:space="preserve">PaymentAcknowledgementsPage.jsx</w:t>
      </w:r>
      <w:r>
        <w:t xml:space="preserve"> </w:t>
      </w:r>
      <w:r>
        <w:t xml:space="preserve">(</w:t>
      </w:r>
      <w:r>
        <w:rPr>
          <w:rStyle w:val="VerbatimChar"/>
        </w:rPr>
        <w:t xml:space="preserve">/payment-acknowledgements</w:t>
      </w:r>
      <w:r>
        <w:t xml:space="preserve">) — one page, two tabs, same split as</w:t>
      </w:r>
      <w:r>
        <w:t xml:space="preserve"> </w:t>
      </w:r>
      <w:r>
        <w:rPr>
          <w:rStyle w:val="VerbatimChar"/>
        </w:rPr>
        <w:t xml:space="preserve">ServiceFeesPage.jsx</w:t>
      </w:r>
      <w:r>
        <w:t xml:space="preserve"> </w:t>
      </w:r>
      <w:r>
        <w:t xml:space="preserve">(Section 28.5):</w:t>
      </w:r>
      <w:r>
        <w:t xml:space="preserve"> </w:t>
      </w:r>
      <w:r>
        <w:t xml:space="preserve">“</w:t>
      </w:r>
      <w:r>
        <w:t xml:space="preserve">My Acknowledgements</w:t>
      </w:r>
      <w:r>
        <w:t xml:space="preserve">”</w:t>
      </w:r>
      <w:r>
        <w:t xml:space="preserve"> </w:t>
      </w:r>
      <w:r>
        <w:t xml:space="preserve">(everyone, always visible in the sidebar including Administrative Officer) with Acknowledge/Dispute actions on anything PENDING_ACK and a Print/Preview action once FINAL_APPROVED;</w:t>
      </w:r>
      <w:r>
        <w:t xml:space="preserve"> </w:t>
      </w:r>
      <w:r>
        <w:t xml:space="preserve">“</w:t>
      </w:r>
      <w:r>
        <w:t xml:space="preserve">All (Treasury)</w:t>
      </w:r>
      <w:r>
        <w:t xml:space="preserve">”</w:t>
      </w:r>
      <w:r>
        <w:t xml:space="preserve"> </w:t>
      </w:r>
      <w:r>
        <w:t xml:space="preserve">(only shown if</w:t>
      </w:r>
      <w:r>
        <w:t xml:space="preserve"> </w:t>
      </w:r>
      <w:r>
        <w:rPr>
          <w:rStyle w:val="VerbatimChar"/>
        </w:rPr>
        <w:t xml:space="preserve">PAYMENT_ACK_VIEW</w:t>
      </w:r>
      <w:r>
        <w:t xml:space="preserve"> </w:t>
      </w:r>
      <w:r>
        <w:t xml:space="preserve">is held) with status filter chips, a Final Approve action on ACKNOWLEDGED rows, and a Reopen action on DISPUTED rows. Pending-action counts show as a badge on each tab, same visual convention as Service Fees’ reimbursement-count badge.</w:t>
      </w:r>
    </w:p>
    <w:p>
      <w:pPr>
        <w:numPr>
          <w:ilvl w:val="0"/>
          <w:numId w:val="1090"/>
        </w:numPr>
        <w:pStyle w:val="Compact"/>
      </w:pPr>
      <w:r>
        <w:rPr>
          <w:rStyle w:val="VerbatimChar"/>
          <w:b/>
        </w:rPr>
        <w:t xml:space="preserve">paymentAcknowledgementTemplate()</w:t>
      </w:r>
      <w:r>
        <w:t xml:space="preserve"> </w:t>
      </w:r>
      <w:r>
        <w:t xml:space="preserve">(</w:t>
      </w:r>
      <w:r>
        <w:rPr>
          <w:rStyle w:val="VerbatimChar"/>
        </w:rPr>
        <w:t xml:space="preserve">exportUtils.js</w:t>
      </w:r>
      <w:r>
        <w:t xml:space="preserve">) — the two-party printable document: letterhead, amount/purpose/status meta box, a document trail (Disbursed By → Acknowledged By → Final Approved By, each with their own date), and two signature blocks (Paid By / Received By) — structured as the direct mirror of the existing</w:t>
      </w:r>
      <w:r>
        <w:t xml:space="preserve"> </w:t>
      </w:r>
      <w:r>
        <w:rPr>
          <w:rStyle w:val="VerbatimChar"/>
        </w:rPr>
        <w:t xml:space="preserve">receiptTemplate()</w:t>
      </w:r>
      <w:r>
        <w:t xml:space="preserve"> </w:t>
      </w:r>
      <w:r>
        <w:t xml:space="preserve">(money coming in), for money going out. Opened via the same</w:t>
      </w:r>
      <w:r>
        <w:t xml:space="preserve"> </w:t>
      </w:r>
      <w:r>
        <w:rPr>
          <w:rStyle w:val="VerbatimChar"/>
        </w:rPr>
        <w:t xml:space="preserve">printDocument()</w:t>
      </w:r>
      <w:r>
        <w:t xml:space="preserve">/</w:t>
      </w:r>
      <w:r>
        <w:rPr>
          <w:rStyle w:val="VerbatimChar"/>
        </w:rPr>
        <w:t xml:space="preserve">previewDocument()</w:t>
      </w:r>
      <w:r>
        <w:t xml:space="preserve"> </w:t>
      </w:r>
      <w:r>
        <w:t xml:space="preserve">helpers every other on-demand document in this system already uses (Sections 21, 27).</w:t>
      </w:r>
    </w:p>
    <w:p>
      <w:pPr>
        <w:numPr>
          <w:ilvl w:val="0"/>
          <w:numId w:val="1090"/>
        </w:numPr>
        <w:pStyle w:val="Compact"/>
      </w:pPr>
      <w:r>
        <w:t xml:space="preserve">Sidebar nav entry</w:t>
      </w:r>
      <w:r>
        <w:t xml:space="preserve"> </w:t>
      </w:r>
      <w:r>
        <w:t xml:space="preserve">“</w:t>
      </w:r>
      <w:r>
        <w:t xml:space="preserve">Payment Acknowledgements</w:t>
      </w:r>
      <w:r>
        <w:t xml:space="preserve">”</w:t>
      </w:r>
      <w:r>
        <w:t xml:space="preserve"> </w:t>
      </w:r>
      <w:r>
        <w:t xml:space="preserve">(</w:t>
      </w:r>
      <w:r>
        <w:rPr>
          <w:rStyle w:val="VerbatimChar"/>
        </w:rPr>
        <w:t xml:space="preserve">CheckBadgeIcon</w:t>
      </w:r>
      <w:r>
        <w:t xml:space="preserve">),</w:t>
      </w:r>
      <w:r>
        <w:t xml:space="preserve"> </w:t>
      </w:r>
      <w:r>
        <w:rPr>
          <w:rStyle w:val="VerbatimChar"/>
        </w:rPr>
        <w:t xml:space="preserve">show: true</w:t>
      </w:r>
      <w:r>
        <w:t xml:space="preserve"> </w:t>
      </w:r>
      <w:r>
        <w:t xml:space="preserve">— visible to every role including Administrative Officer, since anyone can be a payment recipient; unlike most finance-adjacent nav items, this one is deliberately not gated behind</w:t>
      </w:r>
      <w:r>
        <w:t xml:space="preserve"> </w:t>
      </w:r>
      <w:r>
        <w:rPr>
          <w:rStyle w:val="VerbatimChar"/>
        </w:rPr>
        <w:t xml:space="preserve">!isAdminOfficer</w:t>
      </w:r>
      <w:r>
        <w:t xml:space="preserve">.</w:t>
      </w:r>
    </w:p>
    <w:p>
      <w:pPr>
        <w:pStyle w:val="Heading5"/>
      </w:pPr>
      <w:bookmarkStart w:id="278" w:name="known-issues-open-items-7"/>
      <w:r>
        <w:t xml:space="preserve">35.6 Known issues / open items</w:t>
      </w:r>
      <w:bookmarkEnd w:id="278"/>
    </w:p>
    <w:p>
      <w:pPr>
        <w:numPr>
          <w:ilvl w:val="0"/>
          <w:numId w:val="1091"/>
        </w:numPr>
        <w:pStyle w:val="Compact"/>
      </w:pPr>
      <w:r>
        <w:rPr>
          <w:rStyle w:val="VerbatimChar"/>
        </w:rPr>
        <w:t xml:space="preserve">source_type</w:t>
      </w:r>
      <w:r>
        <w:t xml:space="preserve"> </w:t>
      </w:r>
      <w:r>
        <w:t xml:space="preserve">currently only covers the three payout types the requesting brief named by name (dividends, service fee payments, reimbursements) — grant/loan disbursements to an individual, if this system ever adds one, would need a new CHECK value and a new hook point, not an automatic pickup.</w:t>
      </w:r>
    </w:p>
    <w:p>
      <w:pPr>
        <w:numPr>
          <w:ilvl w:val="0"/>
          <w:numId w:val="1091"/>
        </w:numPr>
        <w:pStyle w:val="Compact"/>
      </w:pPr>
      <w:r>
        <w:t xml:space="preserve">No automated reminder job for a payment sitting in PENDING_ACK or ACKNOWLEDGED for a long time (unlike, say, the Audit extension-request reminders or the document-signature reminder cron) — currently a one-time notification only, relying on the recipient/approver to act on it from their bell.</w:t>
      </w:r>
    </w:p>
    <w:p>
      <w:pPr>
        <w:numPr>
          <w:ilvl w:val="0"/>
          <w:numId w:val="1091"/>
        </w:numPr>
        <w:pStyle w:val="Compact"/>
      </w:pPr>
      <w:r>
        <w:t xml:space="preserve">A disputed acknowledgement has no structured</w:t>
      </w:r>
      <w:r>
        <w:t xml:space="preserve"> </w:t>
      </w:r>
      <w:r>
        <w:t xml:space="preserve">“</w:t>
      </w:r>
      <w:r>
        <w:t xml:space="preserve">resolution</w:t>
      </w:r>
      <w:r>
        <w:t xml:space="preserve">”</w:t>
      </w:r>
      <w:r>
        <w:t xml:space="preserve"> </w:t>
      </w:r>
      <w:r>
        <w:t xml:space="preserve">record beyond the reopen action itself — what actually got sorted out is expected to live in the dispute_reason text and whatever conversation happened off-system, not a second audit trail inside this feature.</w:t>
      </w:r>
    </w:p>
    <w:p>
      <w:r>
        <w:pict>
          <v:rect style="width:0;height:1.5pt" o:hralign="center" o:hrstd="t" o:hr="t"/>
        </w:pict>
      </w:r>
    </w:p>
    <w:p>
      <w:pPr>
        <w:pStyle w:val="Heading2"/>
      </w:pPr>
      <w:bookmarkStart w:id="279" w:name="deployment-guide"/>
      <w:r>
        <w:t xml:space="preserve">5. Deployment Guide</w:t>
      </w:r>
      <w:bookmarkEnd w:id="279"/>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80" w:name="whats-being-deployed-and-where"/>
      <w:r>
        <w:t xml:space="preserve">5.1 What’s being deployed, and where</w:t>
      </w:r>
      <w:bookmarkEnd w:id="280"/>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81" w:name="before-you-start"/>
      <w:r>
        <w:t xml:space="preserve">5.2 Before you start</w:t>
      </w:r>
      <w:bookmarkEnd w:id="281"/>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82" w:name="step-1-push-the-code-to-github"/>
      <w:r>
        <w:t xml:space="preserve">5.3 Step 1 — Push the code to GitHub</w:t>
      </w:r>
      <w:bookmarkEnd w:id="282"/>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83" w:name="step-2-connect-render-via-blueprint"/>
      <w:r>
        <w:t xml:space="preserve">5.4 Step 2 — Connect Render via Blueprint</w:t>
      </w:r>
      <w:bookmarkEnd w:id="283"/>
    </w:p>
    <w:p>
      <w:pPr>
        <w:numPr>
          <w:ilvl w:val="0"/>
          <w:numId w:val="1092"/>
        </w:numPr>
        <w:pStyle w:val="Compact"/>
      </w:pPr>
      <w:r>
        <w:t xml:space="preserve">In the</w:t>
      </w:r>
      <w:r>
        <w:t xml:space="preserve"> </w:t>
      </w:r>
      <w:hyperlink r:id="rId284">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92"/>
        </w:numPr>
        <w:pStyle w:val="Compact"/>
      </w:pPr>
      <w:r>
        <w:t xml:space="preserve">Connect your GitHub account, select the repo you just pushed.</w:t>
      </w:r>
    </w:p>
    <w:p>
      <w:pPr>
        <w:numPr>
          <w:ilvl w:val="0"/>
          <w:numId w:val="1092"/>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92"/>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85" w:name="Xa2dd1daddd8fb6ba9c65153d327a372a9d23726"/>
      <w:r>
        <w:t xml:space="preserve">5.5 Step 3 — Fill in the secrets Render couldn’t guess</w:t>
      </w:r>
      <w:bookmarkEnd w:id="285"/>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86">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87" w:name="step-4-load-the-database-schema-one-time"/>
      <w:r>
        <w:t xml:space="preserve">5.6 Step 4 — Load the database schema (one-time)</w:t>
      </w:r>
      <w:bookmarkEnd w:id="287"/>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88" w:name="step-5-verify-its-actually-live"/>
      <w:r>
        <w:t xml:space="preserve">5.7 Step 5 — Verify it’s actually live</w:t>
      </w:r>
      <w:bookmarkEnd w:id="288"/>
    </w:p>
    <w:p>
      <w:pPr>
        <w:numPr>
          <w:ilvl w:val="0"/>
          <w:numId w:val="1093"/>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93"/>
        </w:numPr>
        <w:pStyle w:val="Compact"/>
      </w:pPr>
      <w:r>
        <w:t xml:space="preserve">Visit the frontend URL — you should land on the login page with the company logo showing.</w:t>
      </w:r>
    </w:p>
    <w:p>
      <w:pPr>
        <w:numPr>
          <w:ilvl w:val="0"/>
          <w:numId w:val="1093"/>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89" w:name="running-a-second-separate-company"/>
      <w:r>
        <w:t xml:space="preserve">5.8 Running a second, separate company</w:t>
      </w:r>
      <w:bookmarkEnd w:id="289"/>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90" w:name="ongoing-maintenance"/>
      <w:r>
        <w:t xml:space="preserve">5.9 Ongoing maintenance</w:t>
      </w:r>
      <w:bookmarkEnd w:id="290"/>
    </w:p>
    <w:p>
      <w:pPr>
        <w:numPr>
          <w:ilvl w:val="0"/>
          <w:numId w:val="1094"/>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94"/>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94"/>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94"/>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291" w:name="Xdf0ea96ef3b309936510edc60fc764ebbedc31b"/>
      <w:r>
        <w:t xml:space="preserve">5.10 Updating the system safely once it holds real data</w:t>
      </w:r>
      <w:bookmarkEnd w:id="291"/>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92">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93" w:name="going-live-guide"/>
      <w:r>
        <w:t xml:space="preserve">6. Going Live Guide</w:t>
      </w:r>
      <w:bookmarkEnd w:id="293"/>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94" w:name="the-short-version"/>
      <w:r>
        <w:t xml:space="preserve">6.1 The short version</w:t>
      </w:r>
      <w:bookmarkEnd w:id="294"/>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95" w:name="step-1-which-situation-are-you-in"/>
      <w:r>
        <w:t xml:space="preserve">6.2 Step 1 — Which situation are you in?</w:t>
      </w:r>
      <w:bookmarkEnd w:id="295"/>
    </w:p>
    <w:p>
      <w:pPr>
        <w:numPr>
          <w:ilvl w:val="0"/>
          <w:numId w:val="1095"/>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95"/>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96" w:name="X595313d3fa81092fe7c8af17828e9edcaa6da73"/>
      <w:r>
        <w:t xml:space="preserve">6.3 Step 2B — Wipe and rebuild (the recommended path)</w:t>
      </w:r>
      <w:bookmarkEnd w:id="296"/>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97" w:name="Xa5602a83dc211d0a560352f0a74e687cfb093ba"/>
      <w:r>
        <w:t xml:space="preserve">6.4 Step 3 — Reconciling company identity on a true fresh start</w:t>
      </w:r>
      <w:bookmarkEnd w:id="297"/>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98" w:name="X8e083765fee721cbfb722a4a222196107dde290"/>
      <w:r>
        <w:t xml:space="preserve">6.5 Step 4 — Bootstrap the first real Admin user</w:t>
      </w:r>
      <w:bookmarkEnd w:id="298"/>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99" w:name="Xf748d054eeb83394f7a3230108a6c78c22f605a"/>
      <w:r>
        <w:t xml:space="preserve">6.6 Step 5 — Reconfigure what a fresh database doesn’t remember</w:t>
      </w:r>
      <w:bookmarkEnd w:id="299"/>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300" w:name="step-6-final-go-live-checklist"/>
      <w:r>
        <w:t xml:space="preserve">6.7 Step 6 — Final go-live checklist</w:t>
      </w:r>
      <w:bookmarkEnd w:id="300"/>
    </w:p>
    <w:p>
      <w:pPr>
        <w:numPr>
          <w:ilvl w:val="0"/>
          <w:numId w:val="1096"/>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96"/>
        </w:numPr>
        <w:pStyle w:val="Compact"/>
      </w:pPr>
      <w:r>
        <w:t xml:space="preserve">☐ Uploads folders cleared (Section 6.3, step 3)</w:t>
      </w:r>
    </w:p>
    <w:p>
      <w:pPr>
        <w:numPr>
          <w:ilvl w:val="0"/>
          <w:numId w:val="1096"/>
        </w:numPr>
        <w:pStyle w:val="Compact"/>
      </w:pPr>
      <w:r>
        <w:t xml:space="preserve">☐ Admin bootstrapped and login confirmed working</w:t>
      </w:r>
    </w:p>
    <w:p>
      <w:pPr>
        <w:numPr>
          <w:ilvl w:val="0"/>
          <w:numId w:val="1096"/>
        </w:numPr>
        <w:pStyle w:val="Compact"/>
      </w:pPr>
      <w:r>
        <w:t xml:space="preserve">☐ Company name/address/logo correct in Settings</w:t>
      </w:r>
    </w:p>
    <w:p>
      <w:pPr>
        <w:numPr>
          <w:ilvl w:val="0"/>
          <w:numId w:val="1096"/>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96"/>
        </w:numPr>
        <w:pStyle w:val="Compact"/>
      </w:pPr>
      <w:r>
        <w:t xml:space="preserve">☐ Real Primary account created (and Savings account, if used)</w:t>
      </w:r>
    </w:p>
    <w:p>
      <w:pPr>
        <w:numPr>
          <w:ilvl w:val="0"/>
          <w:numId w:val="1096"/>
        </w:numPr>
        <w:pStyle w:val="Compact"/>
      </w:pPr>
      <w:r>
        <w:t xml:space="preserve">☐ Real Directors/Treasurer/Secretary users created and roles assigned</w:t>
      </w:r>
    </w:p>
    <w:p>
      <w:pPr>
        <w:numPr>
          <w:ilvl w:val="0"/>
          <w:numId w:val="1096"/>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96"/>
        </w:numPr>
        <w:pStyle w:val="Compact"/>
      </w:pPr>
      <w:r>
        <w:t xml:space="preserve">☐ A test contribution/expense sent and confirmed correct on the Dashboard and in Transactions</w:t>
      </w:r>
    </w:p>
    <w:p>
      <w:pPr>
        <w:numPr>
          <w:ilvl w:val="0"/>
          <w:numId w:val="1096"/>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301" w:name="known-issues-technical-debt-registry"/>
      <w:r>
        <w:t xml:space="preserve">7. Known Issues &amp; Technical Debt Registry</w:t>
      </w:r>
      <w:bookmarkEnd w:id="301"/>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302" w:name="X3ad496dccfc246f8b1cccc852136270b28eeb61"/>
      <w:r>
        <w:t xml:space="preserve">7.1 Fixed this engagement (for the historical record)</w:t>
      </w:r>
      <w:bookmarkEnd w:id="302"/>
    </w:p>
    <w:p>
      <w:pPr>
        <w:numPr>
          <w:ilvl w:val="0"/>
          <w:numId w:val="1097"/>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97"/>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097"/>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pStyle w:val="Heading3"/>
      </w:pPr>
      <w:bookmarkStart w:id="303" w:name="Xc4c486f3b33cbd0e6a942510797caf80e82b553"/>
      <w:r>
        <w:t xml:space="preserve">7.2 Open — architectural / worth a deliberate decision</w:t>
      </w:r>
      <w:bookmarkEnd w:id="303"/>
    </w:p>
    <w:p>
      <w:pPr>
        <w:numPr>
          <w:ilvl w:val="0"/>
          <w:numId w:val="1098"/>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8"/>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8"/>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8"/>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8"/>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numPr>
          <w:ilvl w:val="0"/>
          <w:numId w:val="1098"/>
        </w:numPr>
        <w:pStyle w:val="Compact"/>
      </w:pPr>
      <w:r>
        <w:rPr>
          <w:b/>
        </w:rPr>
        <w:t xml:space="preserve">Company B Blueprint placeholders</w:t>
      </w:r>
      <w:r>
        <w:t xml:space="preserve"> </w:t>
      </w:r>
      <w:r>
        <w:t xml:space="preserve">(Section 4.26.8) —</w:t>
      </w:r>
      <w:r>
        <w:t xml:space="preserve"> </w:t>
      </w:r>
      <w:r>
        <w:rPr>
          <w:rStyle w:val="VerbatimChar"/>
        </w:rPr>
        <w:t xml:space="preserve">render.company-b.yaml</w:t>
      </w:r>
      <w:r>
        <w:t xml:space="preserve">’s backend section still has unfilled</w:t>
      </w:r>
      <w:r>
        <w:t xml:space="preserve"> </w:t>
      </w:r>
      <w:r>
        <w:rPr>
          <w:rStyle w:val="VerbatimChar"/>
        </w:rPr>
        <w:t xml:space="preserve">COMPANY_B_NAME_HERE</w:t>
      </w:r>
      <w:r>
        <w:t xml:space="preserve">/</w:t>
      </w:r>
      <w:r>
        <w:rPr>
          <w:rStyle w:val="VerbatimChar"/>
        </w:rPr>
        <w:t xml:space="preserve">CB</w:t>
      </w:r>
      <w:r>
        <w:t xml:space="preserve"> </w:t>
      </w:r>
      <w:r>
        <w:t xml:space="preserve">placeholders in</w:t>
      </w:r>
      <w:r>
        <w:t xml:space="preserve"> </w:t>
      </w:r>
      <w:r>
        <w:rPr>
          <w:rStyle w:val="VerbatimChar"/>
        </w:rPr>
        <w:t xml:space="preserve">TOTP_APP_NAME</w:t>
      </w:r>
      <w:r>
        <w:t xml:space="preserve"> </w:t>
      </w:r>
      <w:r>
        <w:t xml:space="preserve">and</w:t>
      </w:r>
      <w:r>
        <w:t xml:space="preserve"> </w:t>
      </w:r>
      <w:r>
        <w:rPr>
          <w:rStyle w:val="VerbatimChar"/>
        </w:rPr>
        <w:t xml:space="preserve">COMPANY_NAME</w:t>
      </w:r>
      <w:r>
        <w:t xml:space="preserve">, even though the frontend section was already updated to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Needs reconciling before Company B’s next deploy.</w:t>
      </w:r>
    </w:p>
    <w:p>
      <w:pPr>
        <w:pStyle w:val="Heading3"/>
      </w:pPr>
      <w:bookmarkStart w:id="304" w:name="X5a95c3d2cdc4d0b240cb830bbb79c4699c63184"/>
      <w:r>
        <w:t xml:space="preserve">7.3 Open — moderate, low-risk, worth fixing when convenient</w:t>
      </w:r>
      <w:bookmarkEnd w:id="304"/>
    </w:p>
    <w:p>
      <w:pPr>
        <w:numPr>
          <w:ilvl w:val="0"/>
          <w:numId w:val="1099"/>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99"/>
        </w:numPr>
        <w:pStyle w:val="Compact"/>
      </w:pPr>
      <w:r>
        <w:rPr>
          <w:rStyle w:val="VerbatimChar"/>
          <w:b/>
        </w:rPr>
        <w:t xml:space="preserve">GET /exchange-rates/history</w:t>
      </w:r>
      <w:r>
        <w:t xml:space="preserve"> </w:t>
      </w:r>
      <w:r>
        <w:t xml:space="preserve">has no confirmed frontend consumer (Section 4.4.6).</w:t>
      </w:r>
    </w:p>
    <w:p>
      <w:pPr>
        <w:numPr>
          <w:ilvl w:val="0"/>
          <w:numId w:val="1099"/>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99"/>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99"/>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99"/>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99"/>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99"/>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305" w:name="X0b565f0e297b1a8f66e4751afe32682e0f91a18"/>
      <w:r>
        <w:t xml:space="preserve">7.4 Open — worth monitoring as the system scales</w:t>
      </w:r>
      <w:bookmarkEnd w:id="305"/>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306" w:name="how-to-use-this-registry-going-forward"/>
      <w:r>
        <w:t xml:space="preserve">7.5 How to use this registry going forward</w:t>
      </w:r>
      <w:bookmarkEnd w:id="306"/>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07" w:name="version-history"/>
      <w:r>
        <w:t xml:space="preserve">8. Version History</w:t>
      </w:r>
      <w:bookmarkEnd w:id="307"/>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1.30.1</w:t>
            </w:r>
          </w:p>
        </w:tc>
        <w:tc>
          <w:p>
            <w:pPr>
              <w:pStyle w:val="Compact"/>
              <w:jc w:val="left"/>
            </w:pPr>
            <w:r>
              <w:rPr>
                <w:b/>
              </w:rPr>
              <w:t xml:space="preserve">Fixed: reversing a contribution never updated shareholding (Sections 2.6, 14.3, 14.6).</w:t>
            </w:r>
            <w:r>
              <w:t xml:space="preserve"> </w:t>
            </w:r>
            <w:r>
              <w:rPr>
                <w:rStyle w:val="VerbatimChar"/>
              </w:rPr>
              <w:t xml:space="preserve">reverseTransaction</w:t>
            </w:r>
            <w:r>
              <w:t xml:space="preserve"> </w:t>
            </w:r>
            <w:r>
              <w:t xml:space="preserve">posted the reversal ledger entry correctly but never touched the linked</w:t>
            </w:r>
            <w:r>
              <w:t xml:space="preserve"> </w:t>
            </w:r>
            <w:r>
              <w:rPr>
                <w:rStyle w:val="VerbatimChar"/>
              </w:rPr>
              <w:t xml:space="preserve">shareholder_contributions</w:t>
            </w:r>
            <w:r>
              <w:t xml:space="preserve"> </w:t>
            </w:r>
            <w:r>
              <w:t xml:space="preserve">row or re-ran the shareholding recompute,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forever. Now, when the transaction being reversed has a</w:t>
            </w:r>
            <w:r>
              <w:t xml:space="preserve"> </w:t>
            </w:r>
            <w:r>
              <w:rPr>
                <w:rStyle w:val="VerbatimChar"/>
              </w:rPr>
              <w:t xml:space="preserve">contribution_id</w:t>
            </w:r>
            <w:r>
              <w:t xml:space="preserve"> </w:t>
            </w:r>
            <w:r>
              <w:t xml:space="preserve">(i.e. it’s a capital contribution, not some other transaction type), the linked</w:t>
            </w:r>
            <w:r>
              <w:t xml:space="preserve"> </w:t>
            </w:r>
            <w:r>
              <w:rPr>
                <w:rStyle w:val="VerbatimChar"/>
              </w:rPr>
              <w:t xml:space="preserve">shareholder_contributions</w:t>
            </w:r>
            <w:r>
              <w:t xml:space="preserve"> </w:t>
            </w:r>
            <w:r>
              <w:t xml:space="preserve">row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 the recompute logic, extracted out of</w:t>
            </w:r>
            <w:r>
              <w:t xml:space="preserve"> </w:t>
            </w:r>
            <w:r>
              <w:rPr>
                <w:rStyle w:val="VerbatimChar"/>
              </w:rPr>
              <w:t xml:space="preserve">creditShareholderContribution</w:t>
            </w:r>
            <w:r>
              <w:t xml:space="preserve"> </w:t>
            </w:r>
            <w:r>
              <w:t xml:space="preserve">into its own reusable function — runs immediately after, inside the same database transaction as the reversal. Also fixed a related edge case: if that was a member’s</w:t>
            </w:r>
            <w:r>
              <w:t xml:space="preserve"> </w:t>
            </w:r>
            <w:r>
              <w:rPr>
                <w:i/>
              </w:rPr>
              <w:t xml:space="preserve">only</w:t>
            </w:r>
            <w:r>
              <w:t xml:space="preserve"> </w:t>
            </w:r>
            <w:r>
              <w:t xml:space="preserve">approved contribution, their</w:t>
            </w:r>
            <w:r>
              <w:t xml:space="preserve"> </w:t>
            </w:r>
            <w:r>
              <w:rPr>
                <w:rStyle w:val="VerbatimChar"/>
              </w:rPr>
              <w:t xml:space="preserve">shares_held</w:t>
            </w:r>
            <w:r>
              <w:t xml:space="preserve">/</w:t>
            </w:r>
            <w:r>
              <w:rPr>
                <w:rStyle w:val="VerbatimChar"/>
              </w:rPr>
              <w:t xml:space="preserve">percentage</w:t>
            </w:r>
            <w:r>
              <w:t xml:space="preserve"> </w:t>
            </w:r>
            <w:r>
              <w:t xml:space="preserve">are now explicitly zeroed rather than left stale (the recompute’s main loop only ever updates members who still have at least one approved contribution). Confirmed, while investigating this: share price updates (</w:t>
            </w:r>
            <w:r>
              <w:rPr>
                <w:rStyle w:val="VerbatimChar"/>
              </w:rPr>
              <w:t xml:space="preserve">sharesController.js</w:t>
            </w:r>
            <w:r>
              <w:t xml:space="preserve">) have never affected</w:t>
            </w:r>
            <w:r>
              <w:t xml:space="preserve"> </w:t>
            </w:r>
            <w:r>
              <w:rPr>
                <w:rStyle w:val="VerbatimChar"/>
              </w:rPr>
              <w:t xml:space="preserve">shareholding_registry</w:t>
            </w:r>
            <w:r>
              <w:t xml:space="preserve"> </w:t>
            </w:r>
            <w:r>
              <w:t xml:space="preserve">—</w:t>
            </w:r>
            <w:r>
              <w:t xml:space="preserve"> </w:t>
            </w:r>
            <w:r>
              <w:rPr>
                <w:rStyle w:val="VerbatimChar"/>
              </w:rPr>
              <w:t xml:space="preserve">shares_held</w:t>
            </w:r>
            <w:r>
              <w:t xml:space="preserve"> </w:t>
            </w:r>
            <w:r>
              <w:t xml:space="preserve">is raw contributed money, never divided by share price, and price is purely a display-time valuation multiplier; this was already correct and needed no change. Code-only, no schema migration (</w:t>
            </w:r>
            <w:r>
              <w:rPr>
                <w:rStyle w:val="VerbatimChar"/>
              </w:rPr>
              <w:t xml:space="preserve">REVERSED</w:t>
            </w:r>
            <w:r>
              <w:t xml:space="preserve"> </w:t>
            </w:r>
            <w:r>
              <w:t xml:space="preserve">was already an allowed</w:t>
            </w:r>
            <w:r>
              <w:t xml:space="preserve"> </w:t>
            </w:r>
            <w:r>
              <w:rPr>
                <w:rStyle w:val="VerbatimChar"/>
              </w:rPr>
              <w:t xml:space="preserve">shareholder_contributions.status</w:t>
            </w:r>
            <w:r>
              <w:t xml:space="preserve"> </w:t>
            </w:r>
            <w:r>
              <w:t xml:space="preserve">value).</w:t>
            </w:r>
          </w:p>
        </w:tc>
      </w:tr>
      <w:tr>
        <w:tc>
          <w:p>
            <w:pPr>
              <w:pStyle w:val="Compact"/>
              <w:jc w:val="left"/>
            </w:pPr>
            <w:r>
              <w:t xml:space="preserve">1.30.0</w:t>
            </w:r>
          </w:p>
        </w:tc>
        <w:tc>
          <w:p>
            <w:pPr>
              <w:pStyle w:val="Compact"/>
              <w:jc w:val="left"/>
            </w:pPr>
            <w:r>
              <w:rPr>
                <w:b/>
              </w:rPr>
              <w:t xml:space="preserve">Payment Acknowledgements (Section 4.35).</w:t>
            </w:r>
            <w:r>
              <w:t xml:space="preserve"> </w:t>
            </w:r>
            <w:r>
              <w:t xml:space="preserve">New two-way, two-step confirmation record for money paid OUT to an individual — dividends, service fee payments, expense reimbursements. The system auto-creates a</w:t>
            </w:r>
            <w:r>
              <w:t xml:space="preserve"> </w:t>
            </w:r>
            <w:r>
              <w:rPr>
                <w:rStyle w:val="VerbatimChar"/>
              </w:rPr>
              <w:t xml:space="preserve">payment_acknowledgements</w:t>
            </w:r>
            <w:r>
              <w:t xml:space="preserve"> </w:t>
            </w:r>
            <w:r>
              <w:t xml:space="preserve">row (PENDING_ACK) the instant a payment actually pays out (</w:t>
            </w:r>
            <w:r>
              <w:rPr>
                <w:rStyle w:val="VerbatimChar"/>
              </w:rPr>
              <w:t xml:space="preserve">dividendsController.approveDividend</w:t>
            </w:r>
            <w:r>
              <w:t xml:space="preserve">,</w:t>
            </w:r>
            <w:r>
              <w:t xml:space="preserve"> </w:t>
            </w:r>
            <w:r>
              <w:rPr>
                <w:rStyle w:val="VerbatimChar"/>
              </w:rPr>
              <w:t xml:space="preserve">serviceFeesController.recordPayment</w:t>
            </w:r>
            <w:r>
              <w:t xml:space="preserve">/</w:t>
            </w:r>
            <w:r>
              <w:rPr>
                <w:rStyle w:val="VerbatimChar"/>
              </w:rPr>
              <w:t xml:space="preserve">approveReimbursement</w:t>
            </w:r>
            <w:r>
              <w:t xml:space="preserve">) — never created by hand. The recipient reviews the amount/purpose and acknowledges or disputes it (with a reason); neither action reverses or re-posts the underlying payment. Once acknowledged, whoever holds the new</w:t>
            </w:r>
            <w:r>
              <w:t xml:space="preserve"> </w:t>
            </w:r>
            <w:r>
              <w:rPr>
                <w:rStyle w:val="VerbatimChar"/>
              </w:rPr>
              <w:t xml:space="preserve">PAYMENT_ACK_MANAGE</w:t>
            </w:r>
            <w:r>
              <w:t xml:space="preserve"> </w:t>
            </w:r>
            <w:r>
              <w:t xml:space="preserve">permission (Treasurer/Director, ungranted by default) gives final sign-off, unlocking a two-party printable document (</w:t>
            </w:r>
            <w:r>
              <w:rPr>
                <w:rStyle w:val="VerbatimChar"/>
              </w:rPr>
              <w:t xml:space="preserve">paymentAcknowledgementTemplate()</w:t>
            </w:r>
            <w:r>
              <w:t xml:space="preserve">, mirrors the existing</w:t>
            </w:r>
            <w:r>
              <w:t xml:space="preserve"> </w:t>
            </w:r>
            <w:r>
              <w:rPr>
                <w:rStyle w:val="VerbatimChar"/>
              </w:rPr>
              <w:t xml:space="preserve">receiptTemplate()</w:t>
            </w:r>
            <w:r>
              <w:t xml:space="preserve"> </w:t>
            </w:r>
            <w:r>
              <w:t xml:space="preserve">but for money going out instead of coming in) naming both payer and recipient. A disputed record can be reopened by a</w:t>
            </w:r>
            <w:r>
              <w:t xml:space="preserve"> </w:t>
            </w:r>
            <w:r>
              <w:rPr>
                <w:rStyle w:val="VerbatimChar"/>
              </w:rPr>
              <w:t xml:space="preserve">PAYMENT_ACK_MANAGE</w:t>
            </w:r>
            <w:r>
              <w:t xml:space="preserve"> </w:t>
            </w:r>
            <w:r>
              <w:t xml:space="preserve">holder once resolved off-system. New table</w:t>
            </w:r>
            <w:r>
              <w:t xml:space="preserve"> </w:t>
            </w:r>
            <w:r>
              <w:rPr>
                <w:rStyle w:val="VerbatimChar"/>
              </w:rPr>
              <w:t xml:space="preserve">payment_acknowledgements</w:t>
            </w:r>
            <w:r>
              <w:t xml:space="preserve">, new permissions</w:t>
            </w:r>
            <w:r>
              <w:t xml:space="preserve"> </w:t>
            </w:r>
            <w:r>
              <w:rPr>
                <w:rStyle w:val="VerbatimChar"/>
              </w:rPr>
              <w:t xml:space="preserve">PAYMENT_ACK_VIEW</w:t>
            </w:r>
            <w:r>
              <w:t xml:space="preserve">/</w:t>
            </w:r>
            <w:r>
              <w:rPr>
                <w:rStyle w:val="VerbatimChar"/>
              </w:rPr>
              <w:t xml:space="preserve">PAYMENT_ACK_MANAGE</w:t>
            </w:r>
            <w:r>
              <w:t xml:space="preserve">. New page</w:t>
            </w:r>
            <w:r>
              <w:t xml:space="preserve"> </w:t>
            </w:r>
            <w:r>
              <w:rPr>
                <w:rStyle w:val="VerbatimChar"/>
              </w:rPr>
              <w:t xml:space="preserve">PaymentAcknowledgementsPage.jsx</w:t>
            </w:r>
            <w:r>
              <w:t xml:space="preserve"> </w:t>
            </w:r>
            <w:r>
              <w:t xml:space="preserve">(</w:t>
            </w:r>
            <w:r>
              <w:rPr>
                <w:rStyle w:val="VerbatimChar"/>
              </w:rPr>
              <w:t xml:space="preserve">/payment-acknowledgements</w:t>
            </w:r>
            <w:r>
              <w:t xml:space="preserve">, visible to every role including Administrative Officer since anyone can be a recipient) and a sidebar entry. Migration</w:t>
            </w:r>
            <w:r>
              <w:t xml:space="preserve"> </w:t>
            </w:r>
            <w:r>
              <w:rPr>
                <w:rStyle w:val="VerbatimChar"/>
              </w:rPr>
              <w:t xml:space="preserve">migration_v1.30.0.sql</w:t>
            </w:r>
            <w:r>
              <w:t xml:space="preserve">.</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08" w:name="how-to-keep-this-document-alive"/>
      <w:r>
        <w:t xml:space="preserve">9. How to Keep This Document Alive</w:t>
      </w:r>
      <w:bookmarkEnd w:id="308"/>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4" Target="https://dashboard.render.com" TargetMode="External" /><Relationship Type="http://schemas.openxmlformats.org/officeDocument/2006/relationships/hyperlink" Id="rId286" Target="https://myaccount.google.com/apppasswords" TargetMode="External" /><Relationship Type="http://schemas.openxmlformats.org/officeDocument/2006/relationships/hyperlink" Id="rId292"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284" Target="https://dashboard.render.com" TargetMode="External" /><Relationship Type="http://schemas.openxmlformats.org/officeDocument/2006/relationships/hyperlink" Id="rId286" Target="https://myaccount.google.com/apppasswords" TargetMode="External" /><Relationship Type="http://schemas.openxmlformats.org/officeDocument/2006/relationships/hyperlink" Id="rId292"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2026-08-20T20:32:25Z</dcterms:created>
  <dcterms:modified xsi:type="dcterms:W3CDTF">2026-08-20T20:32:25Z</dcterms:modified>
</cp:coreProperties>
</file>

<file path=docProps/custom.xml><?xml version="1.0" encoding="utf-8"?>
<Properties xmlns="http://schemas.openxmlformats.org/officeDocument/2006/custom-properties" xmlns:vt="http://schemas.openxmlformats.org/officeDocument/2006/docPropsVTypes"/>
</file>