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payment-acknowledgements-v1.30.0"/>
      <w:r>
        <w:t xml:space="preserve">35. Payment Acknowledgements (v1.30.0)</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and expense reimbursements.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 and</w:t>
      </w:r>
      <w:r>
        <w:t xml:space="preserve"> </w:t>
      </w:r>
      <w:r>
        <w:rPr>
          <w:rStyle w:val="VerbatimChar"/>
        </w:rPr>
        <w:t xml:space="preserve">serviceFeesController.approveReimbursement</w:t>
      </w:r>
      <w:r>
        <w:t xml:space="preserve">. If the payment succeeds, the acknowledgement row exists; there is no path where a payment posts without a matching acknowledgement.</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only covers the three payout types the requesting brief named by name (dividends, service fee payments, reimbursements) — grant/loan disbursements to an individual, if this system ever adds one, would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2026-08-19T15:36:33Z</dcterms:created>
  <dcterms:modified xsi:type="dcterms:W3CDTF">2026-08-19T15:36:33Z</dcterms:modified>
</cp:coreProperties>
</file>

<file path=docProps/custom.xml><?xml version="1.0" encoding="utf-8"?>
<Properties xmlns="http://schemas.openxmlformats.org/officeDocument/2006/custom-properties" xmlns:vt="http://schemas.openxmlformats.org/officeDocument/2006/docPropsVTypes"/>
</file>