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32"/>
          <w:szCs w:val="32"/>
        </w:rPr>
        <w:t xml:space="preserve">ZWECK TUKULA Ltd</w:t>
      </w:r>
    </w:p>
    <w:p>
      <w:pPr>
        <w:spacing w:after="100"/>
        <w:jc w:val="center"/>
      </w:pPr>
      <w:r>
        <w:rPr>
          <w:b/>
          <w:bCs/>
          <w:color w:val="1e3a5f"/>
          <w:sz w:val="44"/>
          <w:szCs w:val="44"/>
        </w:rPr>
        <w:t xml:space="preserve">Company Management System</w:t>
      </w:r>
    </w:p>
    <w:p>
      <w:pPr>
        <w:spacing w:after="400"/>
        <w:jc w:val="center"/>
      </w:pPr>
      <w:r>
        <w:rPr>
          <w:b/>
          <w:bCs/>
          <w:color w:val="c9a227"/>
          <w:sz w:val="36"/>
          <w:szCs w:val="36"/>
        </w:rPr>
        <w:t xml:space="preserve">THE CMS BIBLE</w:t>
      </w:r>
    </w:p>
    <w:p>
      <w:pPr>
        <w:spacing w:after="800"/>
        <w:jc w:val="center"/>
      </w:pPr>
      <w:r>
        <w:rPr>
          <w:i/>
          <w:iCs/>
        </w:rPr>
        <w:t xml:space="preserve">The complete reference guide to every module, role, and workflow in the system.</w:t>
      </w:r>
    </w:p>
    <w:p>
      <w:pPr>
        <w:jc w:val="center"/>
      </w:pPr>
      <w:r>
        <w:t xml:space="preserve">Prepared as internal documentation — keep this updated as the system evolves.</w:t>
      </w:r>
    </w:p>
    <w:p>
      <w:r>
        <w:br w:type="page"/>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spacing w:after="140"/>
      </w:pPr>
      <w:r>
        <w:t xml:space="preserve">This document is the single reference for how the ZWECK TUKULA Ltd Company Management System (CMS) works — every module, every role, and every day-to-day workflow, in one place. It is written for three audiences at once: a shareholder trying to understand what a screen means, a Treasurer or Admin running the company's finances day to day, and a future maintainer who needs to understand the system without reading the source code.</w:t>
      </w:r>
    </w:p>
    <w:p>
      <w:pPr>
        <w:spacing w:after="140"/>
      </w:pPr>
      <w:r>
        <w:t xml:space="preserve">The system is a single Node.js/Express + PostgreSQL backend with a React frontend. It manages company finances (accounts, transactions, transfers), shareholder capital (contributions, shareholding, share price, certificates), operational activity (grants, loans, investments, dividends, member savings, requisitions, events), records (documents, reports), and the administrative layer that ties it together (users, roles and permissions, company branding, notifications, and search).</w:t>
      </w:r>
    </w:p>
    <w:p>
      <w:pPr>
        <w:pStyle w:val="Heading2"/>
        <w:spacing w:after="100" w:before="200"/>
      </w:pPr>
      <w:r>
        <w:t xml:space="preserve">How to read this document</w:t>
      </w:r>
    </w:p>
    <w:p>
      <w:pPr>
        <w:spacing w:after="140"/>
      </w:pPr>
      <w:r>
        <w:t xml:space="preserve">Each chapter covers one module: what it is for, who is allowed to do what, and the normal step-by-step workflow. Chapter 3 (Roles &amp; Permissions) is worth reading first — almost every other chapter refers back to the roles and permission codes defined there. The appendices at the end cover technical reference material: the reference-numbering scheme used across the whole system, and the version history of every migration applied to the database.</w:t>
      </w:r>
    </w:p>
    <w:p>
      <w:pPr>
        <w:spacing w:after="140"/>
      </w:pPr>
      <w:r>
        <w:rPr>
          <w:b/>
          <w:bCs/>
        </w:rPr>
        <w:t xml:space="preserve">A living document: </w:t>
      </w:r>
      <w:r>
        <w:t xml:space="preserve">whenever a new feature is added to the CMS, add a chapter (or update an existing one) here before considering the feature "done." This is the standing instruction behind every phase of this system's development — documentation is part of the deliverable, not an afterthought.</w:t>
      </w:r>
    </w:p>
    <w:p>
      <w:pPr>
        <w:pStyle w:val="Heading1"/>
        <w:pageBreakBefore/>
      </w:pPr>
      <w:r>
        <w:t xml:space="preserve">2. Getting Started</w:t>
      </w:r>
    </w:p>
    <w:p>
      <w:pPr>
        <w:pStyle w:val="Heading2"/>
        <w:spacing w:after="100" w:before="200"/>
      </w:pPr>
      <w:r>
        <w:t xml:space="preserve">Logging in</w:t>
      </w:r>
    </w:p>
    <w:p>
      <w:pPr>
        <w:spacing w:after="140"/>
      </w:pPr>
      <w:r>
        <w:t xml:space="preserve">Every user logs in with their email and password at the login screen. Two-factor authentication (an authenticator app, e.g. Google Authenticator) can be enabled from My Profile &gt; Security for an extra layer of protection, and is recommended for anyone holding a Treasurer, Assistant Treasurer, Director, or Admin role.</w:t>
      </w:r>
    </w:p>
    <w:p>
      <w:pPr>
        <w:pStyle w:val="Heading2"/>
        <w:spacing w:after="100" w:before="200"/>
      </w:pPr>
      <w:r>
        <w:t xml:space="preserve">Navigating the system</w:t>
      </w:r>
    </w:p>
    <w:p>
      <w:pPr>
        <w:spacing w:after="140"/>
      </w:pPr>
      <w:r>
        <w:t xml:space="preserve">The left-hand Sidebar lists every module you have access to — what you see there depends entirely on your assigned role(s) and permissions (Chapter 3). On a phone or narrow tablet screen, the sidebar becomes a slide-out drawer: tap the menu icon at the top-left of the screen to open it, and tap a link or the background to close it again.</w:t>
      </w:r>
    </w:p>
    <w:p>
      <w:pPr>
        <w:spacing w:after="140"/>
      </w:pPr>
      <w:r>
        <w:t xml:space="preserve">The TopBar (the strip across the very top of every page) shows the current page's name, a search icon, the notifications bell, and your account menu. On larger screens it also shows a live summary of account balances.</w:t>
      </w:r>
    </w:p>
    <w:p>
      <w:pPr>
        <w:pStyle w:val="Heading2"/>
        <w:spacing w:after="100" w:before="200"/>
      </w:pPr>
      <w:r>
        <w:t xml:space="preserve">Searching the system</w:t>
      </w:r>
    </w:p>
    <w:p>
      <w:pPr>
        <w:spacing w:after="140"/>
      </w:pPr>
      <w:r>
        <w:t xml:space="preserve">Click the magnifying-glass icon in the TopBar to open Search. Type at least two characters and the system looks across members, transactions, documents, investments, and events at once, grouped by category — click any result to jump straight to it. Search respects your permissions: you will only ever see results from modules you're already allowed to view.</w:t>
      </w:r>
    </w:p>
    <w:p>
      <w:pPr>
        <w:spacing w:after="140"/>
      </w:pPr>
      <w:r>
        <w:t xml:space="preserve">Many list pages (Members, Transactions, Documents, Investments, Loans, Grants, Requisitions, Events, Dividends, Savings, Transfers) also have their own search box directly above the table — this filters only the rows already loaded on that page, which is faster for narrowing down a long list you're already looking at.</w:t>
      </w:r>
    </w:p>
    <w:p>
      <w:pPr>
        <w:pStyle w:val="Heading2"/>
        <w:spacing w:after="100" w:before="200"/>
      </w:pPr>
      <w:r>
        <w:t xml:space="preserve">Using the system on a phone</w:t>
      </w:r>
    </w:p>
    <w:p>
      <w:pPr>
        <w:spacing w:after="140"/>
      </w:pPr>
      <w:r>
        <w:t xml:space="preserve">The whole system is designed to work on a phone or tablet, not just a desktop browser. Tables that don't fit the screen scroll sideways within their own box rather than breaking the page layout; forms that show two fields side-by-side on a desktop stack into a single column on a small screen; and the navigation sidebar tucks itself away behind the menu icon until you need it.</w:t>
      </w:r>
    </w:p>
    <w:p>
      <w:pPr>
        <w:pStyle w:val="Heading1"/>
        <w:pageBreakBefore/>
      </w:pPr>
      <w:r>
        <w:t xml:space="preserve">3. Roles &amp; Permissions</w:t>
      </w:r>
    </w:p>
    <w:p>
      <w:pPr>
        <w:spacing w:after="140"/>
      </w:pPr>
      <w:r>
        <w:t xml:space="preserve">Access in the CMS is controlled two ways at once: a user can hold one or more Roles (assigned by an Admin from Members &gt; role management), and each role carries a bundle of Permissions (fine-grained capability codes checked by the backend on every sensitive action). A handful of especially sensitive actions — company branding, contribution recording — are locked to specific role names directly in the code rather than through the configurable permission system, precisely because they should never accidentally be reassignable through a permissions-table mistake.</w:t>
      </w:r>
    </w:p>
    <w:p>
      <w:pPr>
        <w:pStyle w:val="Heading2"/>
        <w:spacing w:after="100" w:before="200"/>
      </w:pPr>
      <w:r>
        <w:t xml:space="preserve">Standard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shd w:fill="D9E2F3" w:val="clear"/>
          </w:tcPr>
          <w:p>
            <w:r>
              <w:rPr>
                <w:b/>
                <w:bCs/>
              </w:rPr>
              <w:t xml:space="preserve">Role</w:t>
            </w:r>
          </w:p>
        </w:tc>
        <w:tc>
          <w:tcPr>
            <w:tcW w:type="dxa" w:w="7500"/>
            <w:shd w:fill="D9E2F3" w:val="clear"/>
          </w:tcPr>
          <w:p>
            <w:r>
              <w:rPr>
                <w:b/>
                <w:bCs/>
              </w:rPr>
              <w:t xml:space="preserve">Typical use</w:t>
            </w:r>
          </w:p>
        </w:tc>
      </w:tr>
      <w:tr>
        <w:tc>
          <w:tcPr>
            <w:tcW w:type="dxa" w:w="2000"/>
          </w:tcPr>
          <w:p>
            <w:r>
              <w:rPr>
                <w:b w:val="false"/>
                <w:bCs w:val="false"/>
              </w:rPr>
              <w:t xml:space="preserve">Admin</w:t>
            </w:r>
          </w:p>
        </w:tc>
        <w:tc>
          <w:tcPr>
            <w:tcW w:type="dxa" w:w="7500"/>
          </w:tcPr>
          <w:p>
            <w:r>
              <w:rPr>
                <w:b w:val="false"/>
                <w:bCs w:val="false"/>
              </w:rPr>
              <w:t xml:space="preserve">Full system access: user/role management, company branding, settings, and every permission. The only role that can create other Admins or change company identity.</w:t>
            </w:r>
          </w:p>
        </w:tc>
      </w:tr>
      <w:tr>
        <w:tc>
          <w:tcPr>
            <w:tcW w:type="dxa" w:w="2000"/>
          </w:tcPr>
          <w:p>
            <w:r>
              <w:rPr>
                <w:b w:val="false"/>
                <w:bCs w:val="false"/>
              </w:rPr>
              <w:t xml:space="preserve">Treasurer</w:t>
            </w:r>
          </w:p>
        </w:tc>
        <w:tc>
          <w:tcPr>
            <w:tcW w:type="dxa" w:w="7500"/>
          </w:tcPr>
          <w:p>
            <w:r>
              <w:rPr>
                <w:b w:val="false"/>
                <w:bCs w:val="false"/>
              </w:rPr>
              <w:t xml:space="preserve">Day-to-day financial control: recording contributions and expenses, approving transfers, setting the share price and exchange rates, approving grants/loans/investments/dividends.</w:t>
            </w:r>
          </w:p>
        </w:tc>
      </w:tr>
      <w:tr>
        <w:tc>
          <w:tcPr>
            <w:tcW w:type="dxa" w:w="2000"/>
          </w:tcPr>
          <w:p>
            <w:r>
              <w:rPr>
                <w:b w:val="false"/>
                <w:bCs w:val="false"/>
              </w:rPr>
              <w:t xml:space="preserve">Assistant Treasurer</w:t>
            </w:r>
          </w:p>
        </w:tc>
        <w:tc>
          <w:tcPr>
            <w:tcW w:type="dxa" w:w="7500"/>
          </w:tcPr>
          <w:p>
            <w:r>
              <w:rPr>
                <w:b w:val="false"/>
                <w:bCs w:val="false"/>
              </w:rPr>
              <w:t xml:space="preserve">Supports the Treasurer — records contributions, sets exchange rates — without full Treasurer authority. Introduced so contribution recording and acknowledgement don't depend on one person.</w:t>
            </w:r>
          </w:p>
        </w:tc>
      </w:tr>
      <w:tr>
        <w:tc>
          <w:tcPr>
            <w:tcW w:type="dxa" w:w="2000"/>
          </w:tcPr>
          <w:p>
            <w:r>
              <w:rPr>
                <w:b w:val="false"/>
                <w:bCs w:val="false"/>
              </w:rPr>
              <w:t xml:space="preserve">Director</w:t>
            </w:r>
          </w:p>
        </w:tc>
        <w:tc>
          <w:tcPr>
            <w:tcW w:type="dxa" w:w="7500"/>
          </w:tcPr>
          <w:p>
            <w:r>
              <w:rPr>
                <w:b w:val="false"/>
                <w:bCs w:val="false"/>
              </w:rPr>
              <w:t xml:space="preserve">Oversight role — approves items that need a second signature (varies by module) and views company-wide reports.</w:t>
            </w:r>
          </w:p>
        </w:tc>
      </w:tr>
      <w:tr>
        <w:tc>
          <w:tcPr>
            <w:tcW w:type="dxa" w:w="2000"/>
          </w:tcPr>
          <w:p>
            <w:r>
              <w:rPr>
                <w:b w:val="false"/>
                <w:bCs w:val="false"/>
              </w:rPr>
              <w:t xml:space="preserve">Member / Shareholder</w:t>
            </w:r>
          </w:p>
        </w:tc>
        <w:tc>
          <w:tcPr>
            <w:tcW w:type="dxa" w:w="7500"/>
          </w:tcPr>
          <w:p>
            <w:r>
              <w:rPr>
                <w:b w:val="false"/>
                <w:bCs w:val="false"/>
              </w:rPr>
              <w:t xml:space="preserve">The default role every registered user holds. Can view their own profile, shareholding, contributions, savings, and requisitions, and take part in events.</w:t>
            </w:r>
          </w:p>
        </w:tc>
      </w:tr>
    </w:tbl>
    <w:p>
      <w:pPr>
        <w:pStyle w:val="Heading2"/>
        <w:spacing w:after="100" w:before="200"/>
      </w:pPr>
      <w:r>
        <w:t xml:space="preserve">Key permission codes</w:t>
      </w:r>
    </w:p>
    <w:p>
      <w:pPr>
        <w:spacing w:after="140"/>
      </w:pPr>
      <w:r>
        <w:t xml:space="preserve">Permission codes gate individual actions across the system. The most-used 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E2F3" w:val="clear"/>
          </w:tcPr>
          <w:p>
            <w:r>
              <w:rPr>
                <w:b/>
                <w:bCs/>
              </w:rPr>
              <w:t xml:space="preserve">Code</w:t>
            </w:r>
          </w:p>
        </w:tc>
        <w:tc>
          <w:tcPr>
            <w:tcW w:type="dxa" w:w="6300"/>
            <w:shd w:fill="D9E2F3" w:val="clear"/>
          </w:tcPr>
          <w:p>
            <w:r>
              <w:rPr>
                <w:b/>
                <w:bCs/>
              </w:rPr>
              <w:t xml:space="preserve">Grants</w:t>
            </w:r>
          </w:p>
        </w:tc>
      </w:tr>
      <w:tr>
        <w:tc>
          <w:tcPr>
            <w:tcW w:type="dxa" w:w="3200"/>
          </w:tcPr>
          <w:p>
            <w:r>
              <w:rPr>
                <w:b w:val="false"/>
                <w:bCs w:val="false"/>
              </w:rPr>
              <w:t xml:space="preserve">FINANCE_VIEW_ALL</w:t>
            </w:r>
          </w:p>
        </w:tc>
        <w:tc>
          <w:tcPr>
            <w:tcW w:type="dxa" w:w="6300"/>
          </w:tcPr>
          <w:p>
            <w:r>
              <w:rPr>
                <w:b w:val="false"/>
                <w:bCs w:val="false"/>
              </w:rPr>
              <w:t xml:space="preserve">View Accounts, Transactions, Transfers, Dividends pages company-wide</w:t>
            </w:r>
          </w:p>
        </w:tc>
      </w:tr>
      <w:tr>
        <w:tc>
          <w:tcPr>
            <w:tcW w:type="dxa" w:w="3200"/>
          </w:tcPr>
          <w:p>
            <w:r>
              <w:rPr>
                <w:b w:val="false"/>
                <w:bCs w:val="false"/>
              </w:rPr>
              <w:t xml:space="preserve">FINANCE_TRANSACTION_CREATE</w:t>
            </w:r>
          </w:p>
        </w:tc>
        <w:tc>
          <w:tcPr>
            <w:tcW w:type="dxa" w:w="6300"/>
          </w:tcPr>
          <w:p>
            <w:r>
              <w:rPr>
                <w:b w:val="false"/>
                <w:bCs w:val="false"/>
              </w:rPr>
              <w:t xml:space="preserve">Record a contribution or expense (restricted in code to Treasurer/Assistant Treasurer regardless of this flag)</w:t>
            </w:r>
          </w:p>
        </w:tc>
      </w:tr>
      <w:tr>
        <w:tc>
          <w:tcPr>
            <w:tcW w:type="dxa" w:w="3200"/>
          </w:tcPr>
          <w:p>
            <w:r>
              <w:rPr>
                <w:b w:val="false"/>
                <w:bCs w:val="false"/>
              </w:rPr>
              <w:t xml:space="preserve">FINANCE_TRANSFER_APPROVE</w:t>
            </w:r>
          </w:p>
        </w:tc>
        <w:tc>
          <w:tcPr>
            <w:tcW w:type="dxa" w:w="6300"/>
          </w:tcPr>
          <w:p>
            <w:r>
              <w:rPr>
                <w:b w:val="false"/>
                <w:bCs w:val="false"/>
              </w:rPr>
              <w:t xml:space="preserve">Approve a pending inter-account transfer</w:t>
            </w:r>
          </w:p>
        </w:tc>
      </w:tr>
      <w:tr>
        <w:tc>
          <w:tcPr>
            <w:tcW w:type="dxa" w:w="3200"/>
          </w:tcPr>
          <w:p>
            <w:r>
              <w:rPr>
                <w:b w:val="false"/>
                <w:bCs w:val="false"/>
              </w:rPr>
              <w:t xml:space="preserve">FINANCE_FLOOR_LIMIT_UPDATE</w:t>
            </w:r>
          </w:p>
        </w:tc>
        <w:tc>
          <w:tcPr>
            <w:tcW w:type="dxa" w:w="6300"/>
          </w:tcPr>
          <w:p>
            <w:r>
              <w:rPr>
                <w:b w:val="false"/>
                <w:bCs w:val="false"/>
              </w:rPr>
              <w:t xml:space="preserve">Change the primary account's minimum-balance floor limit</w:t>
            </w:r>
          </w:p>
        </w:tc>
      </w:tr>
      <w:tr>
        <w:tc>
          <w:tcPr>
            <w:tcW w:type="dxa" w:w="3200"/>
          </w:tcPr>
          <w:p>
            <w:r>
              <w:rPr>
                <w:b w:val="false"/>
                <w:bCs w:val="false"/>
              </w:rPr>
              <w:t xml:space="preserve">GRANT_VIEW / GRANT_APPROVE</w:t>
            </w:r>
          </w:p>
        </w:tc>
        <w:tc>
          <w:tcPr>
            <w:tcW w:type="dxa" w:w="6300"/>
          </w:tcPr>
          <w:p>
            <w:r>
              <w:rPr>
                <w:b w:val="false"/>
                <w:bCs w:val="false"/>
              </w:rPr>
              <w:t xml:space="preserve">View / approve grants</w:t>
            </w:r>
          </w:p>
        </w:tc>
      </w:tr>
      <w:tr>
        <w:tc>
          <w:tcPr>
            <w:tcW w:type="dxa" w:w="3200"/>
          </w:tcPr>
          <w:p>
            <w:r>
              <w:rPr>
                <w:b w:val="false"/>
                <w:bCs w:val="false"/>
              </w:rPr>
              <w:t xml:space="preserve">LOAN_VIEW / LOAN_APPROVE</w:t>
            </w:r>
          </w:p>
        </w:tc>
        <w:tc>
          <w:tcPr>
            <w:tcW w:type="dxa" w:w="6300"/>
          </w:tcPr>
          <w:p>
            <w:r>
              <w:rPr>
                <w:b w:val="false"/>
                <w:bCs w:val="false"/>
              </w:rPr>
              <w:t xml:space="preserve">View / approve loans (received and given)</w:t>
            </w:r>
          </w:p>
        </w:tc>
      </w:tr>
      <w:tr>
        <w:tc>
          <w:tcPr>
            <w:tcW w:type="dxa" w:w="3200"/>
          </w:tcPr>
          <w:p>
            <w:r>
              <w:rPr>
                <w:b w:val="false"/>
                <w:bCs w:val="false"/>
              </w:rPr>
              <w:t xml:space="preserve">INVESTMENT_VIEW / INVESTMENT_APPROVE</w:t>
            </w:r>
          </w:p>
        </w:tc>
        <w:tc>
          <w:tcPr>
            <w:tcW w:type="dxa" w:w="6300"/>
          </w:tcPr>
          <w:p>
            <w:r>
              <w:rPr>
                <w:b w:val="false"/>
                <w:bCs w:val="false"/>
              </w:rPr>
              <w:t xml:space="preserve">View / approve investments</w:t>
            </w:r>
          </w:p>
        </w:tc>
      </w:tr>
      <w:tr>
        <w:tc>
          <w:tcPr>
            <w:tcW w:type="dxa" w:w="3200"/>
          </w:tcPr>
          <w:p>
            <w:r>
              <w:rPr>
                <w:b w:val="false"/>
                <w:bCs w:val="false"/>
              </w:rPr>
              <w:t xml:space="preserve">EVENT_VIEW</w:t>
            </w:r>
          </w:p>
        </w:tc>
        <w:tc>
          <w:tcPr>
            <w:tcW w:type="dxa" w:w="6300"/>
          </w:tcPr>
          <w:p>
            <w:r>
              <w:rPr>
                <w:b w:val="false"/>
                <w:bCs w:val="false"/>
              </w:rPr>
              <w:t xml:space="preserve">View the Events module</w:t>
            </w:r>
          </w:p>
        </w:tc>
      </w:tr>
      <w:tr>
        <w:tc>
          <w:tcPr>
            <w:tcW w:type="dxa" w:w="3200"/>
          </w:tcPr>
          <w:p>
            <w:r>
              <w:rPr>
                <w:b w:val="false"/>
                <w:bCs w:val="false"/>
              </w:rPr>
              <w:t xml:space="preserve">DOCUMENT_VIEW</w:t>
            </w:r>
          </w:p>
        </w:tc>
        <w:tc>
          <w:tcPr>
            <w:tcW w:type="dxa" w:w="6300"/>
          </w:tcPr>
          <w:p>
            <w:r>
              <w:rPr>
                <w:b w:val="false"/>
                <w:bCs w:val="false"/>
              </w:rPr>
              <w:t xml:space="preserve">View the Documents module</w:t>
            </w:r>
          </w:p>
        </w:tc>
      </w:tr>
      <w:tr>
        <w:tc>
          <w:tcPr>
            <w:tcW w:type="dxa" w:w="3200"/>
          </w:tcPr>
          <w:p>
            <w:r>
              <w:rPr>
                <w:b w:val="false"/>
                <w:bCs w:val="false"/>
              </w:rPr>
              <w:t xml:space="preserve">USER_VIEW_ALL</w:t>
            </w:r>
          </w:p>
        </w:tc>
        <w:tc>
          <w:tcPr>
            <w:tcW w:type="dxa" w:w="6300"/>
          </w:tcPr>
          <w:p>
            <w:r>
              <w:rPr>
                <w:b w:val="false"/>
                <w:bCs w:val="false"/>
              </w:rPr>
              <w:t xml:space="preserve">View the Members directory and manage roles</w:t>
            </w:r>
          </w:p>
        </w:tc>
      </w:tr>
      <w:tr>
        <w:tc>
          <w:tcPr>
            <w:tcW w:type="dxa" w:w="3200"/>
          </w:tcPr>
          <w:p>
            <w:r>
              <w:rPr>
                <w:b w:val="false"/>
                <w:bCs w:val="false"/>
              </w:rPr>
              <w:t xml:space="preserve">SYSTEM_CONFIG</w:t>
            </w:r>
          </w:p>
        </w:tc>
        <w:tc>
          <w:tcPr>
            <w:tcW w:type="dxa" w:w="6300"/>
          </w:tcPr>
          <w:p>
            <w:r>
              <w:rPr>
                <w:b w:val="false"/>
                <w:bCs w:val="false"/>
              </w:rPr>
              <w:t xml:space="preserve">Settings-level actions: currencies, categories, report broadcasts, certificate "issue now"</w:t>
            </w:r>
          </w:p>
        </w:tc>
      </w:tr>
      <w:tr>
        <w:tc>
          <w:tcPr>
            <w:tcW w:type="dxa" w:w="3200"/>
          </w:tcPr>
          <w:p>
            <w:r>
              <w:rPr>
                <w:b w:val="false"/>
                <w:bCs w:val="false"/>
              </w:rPr>
              <w:t xml:space="preserve">REPORT_VIEW_ALL</w:t>
            </w:r>
          </w:p>
        </w:tc>
        <w:tc>
          <w:tcPr>
            <w:tcW w:type="dxa" w:w="6300"/>
          </w:tcPr>
          <w:p>
            <w:r>
              <w:rPr>
                <w:b w:val="false"/>
                <w:bCs w:val="false"/>
              </w:rPr>
              <w:t xml:space="preserve">View the company-wide General Report</w:t>
            </w:r>
          </w:p>
        </w:tc>
      </w:tr>
    </w:tbl>
    <w:p>
      <w:pPr>
        <w:pStyle w:val="Heading2"/>
        <w:spacing w:after="100" w:before="200"/>
      </w:pPr>
      <w:r>
        <w:t xml:space="preserve">Role-locked (not permission-gated) actions</w:t>
      </w:r>
    </w:p>
    <w:p>
      <w:pPr>
        <w:pStyle w:val="ListParagraph"/>
        <w:numPr>
          <w:ilvl w:val="0"/>
          <w:numId w:val="1"/>
        </w:numPr>
        <w:spacing w:after="60"/>
      </w:pPr>
      <w:r>
        <w:t xml:space="preserve">Company branding and About content (Settings &gt; Company) — Admin role only</w:t>
      </w:r>
    </w:p>
    <w:p>
      <w:pPr>
        <w:pStyle w:val="ListParagraph"/>
        <w:numPr>
          <w:ilvl w:val="0"/>
          <w:numId w:val="1"/>
        </w:numPr>
        <w:spacing w:after="60"/>
      </w:pPr>
      <w:r>
        <w:t xml:space="preserve">Setting the share price — Treasurer or Admin only</w:t>
      </w:r>
    </w:p>
    <w:p>
      <w:pPr>
        <w:pStyle w:val="ListParagraph"/>
        <w:numPr>
          <w:ilvl w:val="0"/>
          <w:numId w:val="1"/>
        </w:numPr>
        <w:spacing w:after="60"/>
      </w:pPr>
      <w:r>
        <w:t xml:space="preserve">Setting a monthly exchange rate — Treasurer, Assistant Treasurer, or Admin only</w:t>
      </w:r>
    </w:p>
    <w:p>
      <w:pPr>
        <w:pStyle w:val="ListParagraph"/>
        <w:numPr>
          <w:ilvl w:val="0"/>
          <w:numId w:val="1"/>
        </w:numPr>
        <w:spacing w:after="60"/>
      </w:pPr>
      <w:r>
        <w:t xml:space="preserve">Recording a shareholder contribution or expense — Treasurer or Assistant Treasurer only</w:t>
      </w:r>
    </w:p>
    <w:p>
      <w:pPr>
        <w:pStyle w:val="Heading1"/>
        <w:pageBreakBefore/>
      </w:pPr>
      <w:r>
        <w:t xml:space="preserve">4. Company Settings &amp; Branding</w:t>
      </w:r>
    </w:p>
    <w:p>
      <w:pPr>
        <w:spacing w:after="140"/>
      </w:pPr>
      <w:r>
        <w:t xml:space="preserve">Settings &gt; Company (Admin only) is what makes the CMS reusable for any company rather than hard-coded to one: name, registered address, logo, and the two brand colors used across the sidebar, buttons, and every generated document's letterhead. Changes take effect immediately for every logged-in user — no redeploy needed.</w:t>
      </w:r>
    </w:p>
    <w:p>
      <w:pPr>
        <w:pStyle w:val="Heading2"/>
        <w:spacing w:after="100" w:before="200"/>
      </w:pPr>
      <w:r>
        <w:t xml:space="preserve">About content</w:t>
      </w:r>
    </w:p>
    <w:p>
      <w:pPr>
        <w:spacing w:after="140"/>
      </w:pPr>
      <w:r>
        <w:t xml:space="preserve">The same page also carries an About section — Description, Mission, Vision, and Core Values — free-text fields an Admin can fill in and update at any time, shown wherever the company's profile is presented.</w:t>
      </w:r>
    </w:p>
    <w:p>
      <w:pPr>
        <w:pStyle w:val="Heading2"/>
        <w:spacing w:after="100" w:before="200"/>
      </w:pPr>
      <w:r>
        <w:t xml:space="preserve">Currencies</w:t>
      </w:r>
    </w:p>
    <w:p>
      <w:pPr>
        <w:spacing w:after="140"/>
      </w:pPr>
      <w:r>
        <w:t xml:space="preserve">Settings &gt; Currencies lists every currency the company transacts in (code, name, symbol). New currencies can be added here before they can be selected anywhere else in the system (accounts, share price, exchange rates, transactions).</w:t>
      </w:r>
    </w:p>
    <w:p>
      <w:pPr>
        <w:pStyle w:val="Heading1"/>
        <w:pageBreakBefore/>
      </w:pPr>
      <w:r>
        <w:t xml:space="preserve">5. Accounts, Share Price &amp; Exchange Rates</w:t>
      </w:r>
    </w:p>
    <w:p>
      <w:pPr>
        <w:pStyle w:val="Heading2"/>
        <w:spacing w:after="100" w:before="200"/>
      </w:pPr>
      <w:r>
        <w:t xml:space="preserve">Accounts</w:t>
      </w:r>
    </w:p>
    <w:p>
      <w:pPr>
        <w:spacing w:after="140"/>
      </w:pPr>
      <w:r>
        <w:t xml:space="preserve">The company holds exactly one Primary Account (the main operating account) and any number of Secondary Accounts (e.g. reserve funds), each with its own currency and current balance. Every account can optionally be given its own reference-code prefix (e.g. an "Investment Reserve Fund" account using "IRF-EXP-202607-00001" instead of the generic secondary-account code) — set from the account's edit form.</w:t>
      </w:r>
    </w:p>
    <w:p>
      <w:pPr>
        <w:spacing w:after="140"/>
      </w:pPr>
      <w:r>
        <w:t xml:space="preserve">The Primary Account carries a Floor Limit: a minimum balance the Treasurer/Admin sets and can update, used to flag when the account is running low.</w:t>
      </w:r>
    </w:p>
    <w:p>
      <w:pPr>
        <w:pStyle w:val="Heading2"/>
        <w:spacing w:after="100" w:before="200"/>
      </w:pPr>
      <w:r>
        <w:t xml:space="preserve">Share Price</w:t>
      </w:r>
    </w:p>
    <w:p>
      <w:pPr>
        <w:spacing w:after="140"/>
      </w:pPr>
      <w:r>
        <w:t xml:space="preserve">A single company-wide price-per-share is always in effect, with full history (Accounts page &gt; Share Price card). Treasurer or Admin sets a new price with an effective date — the previous price automatically closes out on that date, and every active shareholder is notified (bell + email) that their holding's value has changed. A shareholder's holding value is always shares_held × current price per share.</w:t>
      </w:r>
    </w:p>
    <w:p>
      <w:pPr>
        <w:pStyle w:val="Heading2"/>
        <w:spacing w:after="100" w:before="200"/>
      </w:pPr>
      <w:r>
        <w:t xml:space="preserve">Currency Exchange Rates</w:t>
      </w:r>
    </w:p>
    <w:p>
      <w:pPr>
        <w:spacing w:after="140"/>
      </w:pPr>
      <w:r>
        <w:t xml:space="preserve">A monthly, company-set exchange rate (Accounts page &gt; Exchange Rates card, settable by Treasurer, Assistant Treasurer, or Admin) is used only to DISPLAY the share price/value in a currency other than the one it was set in — it never changes how a contribution or transaction is actually recorded. Each currency pair (e.g. USD → EUR) keeps its own history, the same effective-from/to pattern as Share Price.</w:t>
      </w:r>
    </w:p>
    <w:p>
      <w:pPr>
        <w:pStyle w:val="Heading1"/>
        <w:pageBreakBefore/>
      </w:pPr>
      <w:r>
        <w:t xml:space="preserve">6. Transactions &amp; Transfers</w:t>
      </w:r>
    </w:p>
    <w:p>
      <w:pPr>
        <w:pStyle w:val="Heading2"/>
        <w:spacing w:after="100" w:before="200"/>
      </w:pPr>
      <w:r>
        <w:t xml:space="preserve">Transactions</w:t>
      </w:r>
    </w:p>
    <w:p>
      <w:pPr>
        <w:spacing w:after="140"/>
      </w:pPr>
      <w:r>
        <w:t xml:space="preserve">Every credit or debit against any account is a Transaction, tagged with an inflow_type that traces it back to its source: CONTRIBUTION, GRANT, LOAN_RECEIVED, LOAN_REPAYMENT_IN, INTEREST_IN, INVESTMENT_RETURN, TRANSFER_IN, OTHER_INCOME on the credit side; TRANSFER_OUT, LOAN_DISBURSED, LOAN_REPAYMENT_OUT, INTEREST_OUT, EXPENSE, GRANT_REFUND on the debit side. Every transaction carries a running balance_before/balance_after, a category, and a unique reference code.</w:t>
      </w:r>
    </w:p>
    <w:p>
      <w:pPr>
        <w:spacing w:after="140"/>
      </w:pPr>
      <w:r>
        <w:t xml:space="preserve">A transaction can be reversed (creating a linked REVERSAL_CREDIT/REVERSAL_DEBIT entry) rather than deleted — the original stays on record with is_reversed = true, preserving a complete audit trail.</w:t>
      </w:r>
    </w:p>
    <w:p>
      <w:pPr>
        <w:pStyle w:val="Heading2"/>
        <w:spacing w:after="100" w:before="200"/>
      </w:pPr>
      <w:r>
        <w:t xml:space="preserve">Transfers</w:t>
      </w:r>
    </w:p>
    <w:p>
      <w:pPr>
        <w:spacing w:after="140"/>
      </w:pPr>
      <w:r>
        <w:t xml:space="preserve">Money moving between the Primary and a Secondary account is a Transfer (PRIMARY_TO_SECONDARY or SECONDARY_TO_PRIMARY), initiated by an authorised user and requiring approval (FINANCE_TRANSFER_APPROVE) before the funds actually move.</w:t>
      </w:r>
    </w:p>
    <w:p>
      <w:pPr>
        <w:pStyle w:val="Heading1"/>
        <w:pageBreakBefore/>
      </w:pPr>
      <w:r>
        <w:t xml:space="preserve">7. Shareholder Contributions &amp; Shareholding</w:t>
      </w:r>
    </w:p>
    <w:p>
      <w:pPr>
        <w:spacing w:after="140"/>
      </w:pPr>
      <w:r>
        <w:t xml:space="preserve">Every shareholder's capital contribution to the company is recorded against the Shareholding Registry, which tracks each member's shares_held and resulting percentage of the company over time (with full effective-from/to history, so past ownership is never overwritten, only superseded).</w:t>
      </w:r>
    </w:p>
    <w:p>
      <w:pPr>
        <w:pStyle w:val="Heading2"/>
        <w:spacing w:after="100" w:before="200"/>
      </w:pPr>
      <w:r>
        <w:t xml:space="preserve">Two ways a contribution gets recorded</w:t>
      </w:r>
    </w:p>
    <w:p>
      <w:pPr>
        <w:pStyle w:val="ListParagraph"/>
        <w:numPr>
          <w:ilvl w:val="0"/>
          <w:numId w:val="2"/>
        </w:numPr>
        <w:spacing w:after="60"/>
      </w:pPr>
      <w:r>
        <w:t xml:space="preserve">The Treasurer or Assistant Treasurer records it directly (Transactions &gt; Record Contribution) on the shareholder's behalf.</w:t>
      </w:r>
    </w:p>
    <w:p>
      <w:pPr>
        <w:pStyle w:val="ListParagraph"/>
        <w:numPr>
          <w:ilvl w:val="0"/>
          <w:numId w:val="2"/>
        </w:numPr>
        <w:spacing w:after="60"/>
      </w:pPr>
      <w:r>
        <w:t xml:space="preserve">A member submits a "Contribution Acknowledgement" requisition (see Chapter 8) asking the Treasurer to confirm capital they've already contributed outside the system — once approved, the same underlying recording logic runs, so both paths produce an identical audit trail.</w:t>
      </w:r>
    </w:p>
    <w:p>
      <w:pPr>
        <w:spacing w:after="140"/>
      </w:pPr>
      <w:r>
        <w:t xml:space="preserve">If a contributing member has no shareholding record yet, one is auto-created at zero shares on their first contribution.</w:t>
      </w:r>
    </w:p>
    <w:p>
      <w:pPr>
        <w:pStyle w:val="Heading2"/>
        <w:spacing w:after="100" w:before="200"/>
      </w:pPr>
      <w:r>
        <w:t xml:space="preserve">My Profile &amp; My Dashboard</w:t>
      </w:r>
    </w:p>
    <w:p>
      <w:pPr>
        <w:spacing w:after="140"/>
      </w:pPr>
      <w:r>
        <w:t xml:space="preserve">Every shareholder can see, on their own Profile and Dashboard: their shareholding percentage and shares held, their current Share Value (shares × current price per share, with equivalent values in other currencies if exchange rates have been set), and their all-time Total Contributions.</w:t>
      </w:r>
    </w:p>
    <w:p>
      <w:pPr>
        <w:pStyle w:val="Heading1"/>
        <w:pageBreakBefore/>
      </w:pPr>
      <w:r>
        <w:t xml:space="preserve">8. Certificates of Shares</w:t>
      </w:r>
    </w:p>
    <w:p>
      <w:pPr>
        <w:spacing w:after="140"/>
      </w:pPr>
      <w:r>
        <w:t xml:space="preserve">A Certificate of Shares is a formal, numbered, letterhead-branded document certifying a shareholder's current holding — shares held, percentage, price per share, and total value — with signature lines for Company Secretary, Treasurer, and Director. Monthly and Annual certificates use the exact same format; they only differ in how often they're issued.</w:t>
      </w:r>
    </w:p>
    <w:p>
      <w:pPr>
        <w:pStyle w:val="Heading2"/>
        <w:spacing w:after="100" w:before="200"/>
      </w:pPr>
      <w:r>
        <w:t xml:space="preserve">Getting a certificate — two ways</w:t>
      </w:r>
    </w:p>
    <w:p>
      <w:pPr>
        <w:pStyle w:val="ListParagraph"/>
        <w:numPr>
          <w:ilvl w:val="0"/>
          <w:numId w:val="2"/>
        </w:numPr>
        <w:spacing w:after="60"/>
      </w:pPr>
      <w:r>
        <w:t xml:space="preserve">On demand: any shareholder can click "Download Monthly Certificate" or "Download Annual Certificate" on My Profile at any time. Treasurer/Assistant Treasurer/Admin can do the same for any member.</w:t>
      </w:r>
    </w:p>
    <w:p>
      <w:pPr>
        <w:pStyle w:val="ListParagraph"/>
        <w:numPr>
          <w:ilvl w:val="0"/>
          <w:numId w:val="2"/>
        </w:numPr>
        <w:spacing w:after="60"/>
      </w:pPr>
      <w:r>
        <w:t xml:space="preserve">Automatically: the system emails every active shareholder a Monthly certificate on the 1st of each month, and an Annual certificate every 1 January (for the year that just ended), as a PDF attachment. From Reports (Admin), "Issue Monthly/Annual Certificates" runs this exact same pipeline immediately — useful for testing or an ad-hoc reissue, without waiting for the schedule.</w:t>
      </w:r>
    </w:p>
    <w:p>
      <w:pPr>
        <w:pStyle w:val="Heading2"/>
        <w:spacing w:after="100" w:before="200"/>
      </w:pPr>
      <w:r>
        <w:t xml:space="preserve">Certificate numbering</w:t>
      </w:r>
    </w:p>
    <w:p>
      <w:pPr>
        <w:spacing w:after="140"/>
      </w:pPr>
      <w:r>
        <w:t xml:space="preserve">Each certificate gets a unique, permanent reference number via the same reference-registry mechanism used everywhere else in the system: SHC-MONTHLY-202607-00001 for a monthly certificate, SHC-ANNUAL-2026-00001 for an annual one.</w:t>
      </w:r>
    </w:p>
    <w:p>
      <w:pPr>
        <w:pStyle w:val="Heading1"/>
        <w:pageBreakBefore/>
      </w:pPr>
      <w:r>
        <w:t xml:space="preserve">9. Requisitions</w:t>
      </w:r>
    </w:p>
    <w:p>
      <w:pPr>
        <w:spacing w:after="140"/>
      </w:pPr>
      <w:r>
        <w:t xml:space="preserve">A Requisition is a member-initiated request that needs Treasurer/Assistant Treasurer sign-off before it takes effect. Two types exist: EXPENSE (asking for money to be spent/reimbursed) and CONTRIBUTION_ACKNOWLEDGEMENT (asking the Treasurer to record capital the member has already contributed outside the system — see Chapter 7).</w:t>
      </w:r>
    </w:p>
    <w:p>
      <w:pPr>
        <w:pStyle w:val="Heading2"/>
        <w:spacing w:after="100" w:before="200"/>
      </w:pPr>
      <w:r>
        <w:t xml:space="preserve">Workflow</w:t>
      </w:r>
    </w:p>
    <w:p>
      <w:pPr>
        <w:pStyle w:val="ListParagraph"/>
        <w:numPr>
          <w:ilvl w:val="0"/>
          <w:numId w:val="2"/>
        </w:numPr>
        <w:spacing w:after="60"/>
      </w:pPr>
      <w:r>
        <w:t xml:space="preserve">Member creates a requisition (My Requisitions &gt; New) with the type, amount, date, and supporting notes.</w:t>
      </w:r>
    </w:p>
    <w:p>
      <w:pPr>
        <w:pStyle w:val="ListParagraph"/>
        <w:numPr>
          <w:ilvl w:val="0"/>
          <w:numId w:val="2"/>
        </w:numPr>
        <w:spacing w:after="60"/>
      </w:pPr>
      <w:r>
        <w:t xml:space="preserve">Treasurer/Assistant Treasurer reviews it under All Requisitions, and either Approves it (which, for a contribution acknowledgement, triggers the same recording logic as a direct contribution) or Rejects it with a reason.</w:t>
      </w:r>
    </w:p>
    <w:p>
      <w:pPr>
        <w:pStyle w:val="Heading1"/>
        <w:pageBreakBefore/>
      </w:pPr>
      <w:r>
        <w:t xml:space="preserve">10. Grants</w:t>
      </w:r>
    </w:p>
    <w:p>
      <w:pPr>
        <w:spacing w:after="140"/>
      </w:pPr>
      <w:r>
        <w:t xml:space="preserve">A Grant is external funding the company receives, potentially disbursed in multiple tranches and tied to conditions the grantor imposes.</w:t>
      </w:r>
    </w:p>
    <w:p>
      <w:pPr>
        <w:pStyle w:val="Heading2"/>
        <w:spacing w:after="100" w:before="200"/>
      </w:pPr>
      <w:r>
        <w:t xml:space="preserve">Workflow</w:t>
      </w:r>
    </w:p>
    <w:p>
      <w:pPr>
        <w:pStyle w:val="ListParagraph"/>
        <w:numPr>
          <w:ilvl w:val="0"/>
          <w:numId w:val="2"/>
        </w:numPr>
        <w:spacing w:after="60"/>
      </w:pPr>
      <w:r>
        <w:t xml:space="preserve">Create the grant record (title, grantor, total amount, conditions).</w:t>
      </w:r>
    </w:p>
    <w:p>
      <w:pPr>
        <w:pStyle w:val="ListParagraph"/>
        <w:numPr>
          <w:ilvl w:val="0"/>
          <w:numId w:val="2"/>
        </w:numPr>
        <w:spacing w:after="60"/>
      </w:pPr>
      <w:r>
        <w:t xml:space="preserve">An authorised approver (GRANT_APPROVE) approves it.</w:t>
      </w:r>
    </w:p>
    <w:p>
      <w:pPr>
        <w:pStyle w:val="ListParagraph"/>
        <w:numPr>
          <w:ilvl w:val="0"/>
          <w:numId w:val="2"/>
        </w:numPr>
        <w:spacing w:after="60"/>
      </w:pPr>
      <w:r>
        <w:t xml:space="preserve">Tranches are recorded as they're received — each one posts a GRANT credit transaction to the funding account.</w:t>
      </w:r>
    </w:p>
    <w:p>
      <w:pPr>
        <w:pStyle w:val="ListParagraph"/>
        <w:numPr>
          <w:ilvl w:val="0"/>
          <w:numId w:val="2"/>
        </w:numPr>
        <w:spacing w:after="60"/>
      </w:pPr>
      <w:r>
        <w:t xml:space="preserve">Conditions can be marked fulfilled with supporting evidence (a linked document) as the grantor's requirements are met.</w:t>
      </w:r>
    </w:p>
    <w:p>
      <w:pPr>
        <w:spacing w:after="140"/>
      </w:pPr>
      <w:r>
        <w:t xml:space="preserve">If grant funds go unused, a GRANT_REFUND transaction returns them.</w:t>
      </w:r>
    </w:p>
    <w:p>
      <w:pPr>
        <w:pStyle w:val="Heading1"/>
        <w:pageBreakBefore/>
      </w:pPr>
      <w:r>
        <w:t xml:space="preserve">11. Loans (Received &amp; Given)</w:t>
      </w:r>
    </w:p>
    <w:p>
      <w:pPr>
        <w:spacing w:after="140"/>
      </w:pPr>
      <w:r>
        <w:t xml:space="preserve">The system tracks two distinct loan directions separately: Loans Received (the company borrowing money) and Loans Given (the company lending money out) — same lifecycle, mirrored data model.</w:t>
      </w:r>
    </w:p>
    <w:p>
      <w:pPr>
        <w:pStyle w:val="Heading2"/>
        <w:spacing w:after="100" w:before="200"/>
      </w:pPr>
      <w:r>
        <w:t xml:space="preserve">Workflow (each direction)</w:t>
      </w:r>
    </w:p>
    <w:p>
      <w:pPr>
        <w:pStyle w:val="ListParagraph"/>
        <w:numPr>
          <w:ilvl w:val="0"/>
          <w:numId w:val="2"/>
        </w:numPr>
        <w:spacing w:after="60"/>
      </w:pPr>
      <w:r>
        <w:t xml:space="preserve">Create the loan (lender/borrower, principal, interest rate, repayment schedule).</w:t>
      </w:r>
    </w:p>
    <w:p>
      <w:pPr>
        <w:pStyle w:val="ListParagraph"/>
        <w:numPr>
          <w:ilvl w:val="0"/>
          <w:numId w:val="2"/>
        </w:numPr>
        <w:spacing w:after="60"/>
      </w:pPr>
      <w:r>
        <w:t xml:space="preserve">An approver (LOAN_APPROVE) approves it, which posts the initial disbursement transaction (LOAN_RECEIVED or LOAN_DISBURSED).</w:t>
      </w:r>
    </w:p>
    <w:p>
      <w:pPr>
        <w:pStyle w:val="ListParagraph"/>
        <w:numPr>
          <w:ilvl w:val="0"/>
          <w:numId w:val="2"/>
        </w:numPr>
        <w:spacing w:after="60"/>
      </w:pPr>
      <w:r>
        <w:t xml:space="preserve">Interest accrues automatically every night (a scheduled job, midnight Africa/Kampala time) based on the outstanding principal and current rate.</w:t>
      </w:r>
    </w:p>
    <w:p>
      <w:pPr>
        <w:pStyle w:val="ListParagraph"/>
        <w:numPr>
          <w:ilvl w:val="0"/>
          <w:numId w:val="2"/>
        </w:numPr>
        <w:spacing w:after="60"/>
      </w:pPr>
      <w:r>
        <w:t xml:space="preserve">Repayments are recorded as they come in/go out, each posting the matching LOAN_REPAYMENT_IN/OUT and INTEREST_IN/OUT transactions.</w:t>
      </w:r>
    </w:p>
    <w:p>
      <w:pPr>
        <w:pStyle w:val="ListParagraph"/>
        <w:numPr>
          <w:ilvl w:val="0"/>
          <w:numId w:val="2"/>
        </w:numPr>
        <w:spacing w:after="60"/>
      </w:pPr>
      <w:r>
        <w:t xml:space="preserve">A second nightly job (00:05) automatically flags any loan past its due date as OVERDUE and switches it from its normal rate to the agreed penalty rate.</w:t>
      </w:r>
    </w:p>
    <w:p>
      <w:pPr>
        <w:spacing w:after="140"/>
      </w:pPr>
      <w:r>
        <w:t xml:space="preserve">An interest or penalty rate can be amended mid-loan (with an effective date) when terms are renegotiated — the amendment is itself timestamped so historical accruals used the rate in force at the time.</w:t>
      </w:r>
    </w:p>
    <w:p>
      <w:pPr>
        <w:pStyle w:val="Heading1"/>
        <w:pageBreakBefore/>
      </w:pPr>
      <w:r>
        <w:t xml:space="preserve">12. Investments</w:t>
      </w:r>
    </w:p>
    <w:p>
      <w:pPr>
        <w:spacing w:after="140"/>
      </w:pPr>
      <w:r>
        <w:t xml:space="preserve">An Investment is money the company puts to work, of one of two types: STANDARD (a general investment/project) or BOND (a fixed-income instrument with a coupon schedule).</w:t>
      </w:r>
    </w:p>
    <w:p>
      <w:pPr>
        <w:pStyle w:val="Heading2"/>
        <w:spacing w:after="100" w:before="200"/>
      </w:pPr>
      <w:r>
        <w:t xml:space="preserve">Workflow</w:t>
      </w:r>
    </w:p>
    <w:p>
      <w:pPr>
        <w:pStyle w:val="ListParagraph"/>
        <w:numPr>
          <w:ilvl w:val="0"/>
          <w:numId w:val="2"/>
        </w:numPr>
        <w:spacing w:after="60"/>
      </w:pPr>
      <w:r>
        <w:t xml:space="preserve">Create the investment (name, category, funding account, planned budget, currency; for a BOND, also face value, coupon rate, coupon frequency, and tax withholding rate).</w:t>
      </w:r>
    </w:p>
    <w:p>
      <w:pPr>
        <w:pStyle w:val="ListParagraph"/>
        <w:numPr>
          <w:ilvl w:val="0"/>
          <w:numId w:val="2"/>
        </w:numPr>
        <w:spacing w:after="60"/>
      </w:pPr>
      <w:r>
        <w:t xml:space="preserve">An approver (INVESTMENT_APPROVE) approves it.</w:t>
      </w:r>
    </w:p>
    <w:p>
      <w:pPr>
        <w:pStyle w:val="ListParagraph"/>
        <w:numPr>
          <w:ilvl w:val="0"/>
          <w:numId w:val="2"/>
        </w:numPr>
        <w:spacing w:after="60"/>
      </w:pPr>
      <w:r>
        <w:t xml:space="preserve">It's funded from its funding account, and its actual expenditure builds up as money is spent against it.</w:t>
      </w:r>
    </w:p>
    <w:p>
      <w:pPr>
        <w:pStyle w:val="ListParagraph"/>
        <w:numPr>
          <w:ilvl w:val="0"/>
          <w:numId w:val="2"/>
        </w:numPr>
        <w:spacing w:after="60"/>
      </w:pPr>
      <w:r>
        <w:t xml:space="preserve">For a STANDARD investment, ongoing income/expense/tax entries are recorded directly against its own operating budget (each auto-posted to the general ledger) via Investment Transactions, and the investment can carry its own Project with milestones tracked over time.</w:t>
      </w:r>
    </w:p>
    <w:p>
      <w:pPr>
        <w:pStyle w:val="ListParagraph"/>
        <w:numPr>
          <w:ilvl w:val="0"/>
          <w:numId w:val="2"/>
        </w:numPr>
        <w:spacing w:after="60"/>
      </w:pPr>
      <w:r>
        <w:t xml:space="preserve">For a BOND, a Bond Coupon schedule is generated automatically (one row per coupon date, PENDING until paid) and each coupon is marked paid as it comes in.</w:t>
      </w:r>
    </w:p>
    <w:p>
      <w:pPr>
        <w:spacing w:after="140"/>
      </w:pPr>
      <w:r>
        <w:t xml:space="preserve">Every investment's status (planned, active, completed) can be updated, and a Performance Summary (best/worst return by ROI%) is visible to every shareholder on their dashboard.</w:t>
      </w:r>
    </w:p>
    <w:p>
      <w:pPr>
        <w:pStyle w:val="Heading1"/>
        <w:pageBreakBefore/>
      </w:pPr>
      <w:r>
        <w:t xml:space="preserve">13. Dividends &amp; Authority Payments</w:t>
      </w:r>
    </w:p>
    <w:p>
      <w:pPr>
        <w:spacing w:after="140"/>
      </w:pPr>
      <w:r>
        <w:t xml:space="preserve">Dividends are profit distributions declared to shareholders. Authority Payments are a separate, simpler ledger of payments made to a regulatory/government authority (e.g. taxes, statutory fees) — recorded, not approved through the dividend workflow.</w:t>
      </w:r>
    </w:p>
    <w:p>
      <w:pPr>
        <w:pStyle w:val="Heading2"/>
        <w:spacing w:after="100" w:before="200"/>
      </w:pPr>
      <w:r>
        <w:t xml:space="preserve">Dividend workflow</w:t>
      </w:r>
    </w:p>
    <w:p>
      <w:pPr>
        <w:pStyle w:val="ListParagraph"/>
        <w:numPr>
          <w:ilvl w:val="0"/>
          <w:numId w:val="2"/>
        </w:numPr>
        <w:spacing w:after="60"/>
      </w:pPr>
      <w:r>
        <w:t xml:space="preserve">Declare a dividend (total amount, currency, declaration date, notes).</w:t>
      </w:r>
    </w:p>
    <w:p>
      <w:pPr>
        <w:pStyle w:val="ListParagraph"/>
        <w:numPr>
          <w:ilvl w:val="0"/>
          <w:numId w:val="2"/>
        </w:numPr>
        <w:spacing w:after="60"/>
      </w:pPr>
      <w:r>
        <w:t xml:space="preserve">An approver approves it before it takes effect.</w:t>
      </w:r>
    </w:p>
    <w:p>
      <w:pPr>
        <w:pStyle w:val="Heading2"/>
        <w:spacing w:after="100" w:before="200"/>
      </w:pPr>
      <w:r>
        <w:t xml:space="preserve">Authority payments</w:t>
      </w:r>
    </w:p>
    <w:p>
      <w:pPr>
        <w:spacing w:after="140"/>
      </w:pPr>
      <w:r>
        <w:t xml:space="preserve">Recorded directly (amount, authority name, purpose, date) — visible in a dedicated list alongside declared dividends.</w:t>
      </w:r>
    </w:p>
    <w:p>
      <w:pPr>
        <w:pStyle w:val="Heading1"/>
        <w:pageBreakBefore/>
      </w:pPr>
      <w:r>
        <w:t xml:space="preserve">14. Member Savings</w:t>
      </w:r>
    </w:p>
    <w:p>
      <w:pPr>
        <w:spacing w:after="140"/>
      </w:pPr>
      <w:r>
        <w:t xml:space="preserve">A separate, personal savings facility distinct from shareholding — members can deposit and later withdraw their own savings, tracked independently of company capital.</w:t>
      </w:r>
    </w:p>
    <w:p>
      <w:pPr>
        <w:pStyle w:val="Heading2"/>
        <w:spacing w:after="100" w:before="200"/>
      </w:pPr>
      <w:r>
        <w:t xml:space="preserve">Workflow</w:t>
      </w:r>
    </w:p>
    <w:p>
      <w:pPr>
        <w:pStyle w:val="ListParagraph"/>
        <w:numPr>
          <w:ilvl w:val="0"/>
          <w:numId w:val="2"/>
        </w:numPr>
        <w:spacing w:after="60"/>
      </w:pPr>
      <w:r>
        <w:t xml:space="preserve">Member (or Treasurer on their behalf) creates a savings deposit.</w:t>
      </w:r>
    </w:p>
    <w:p>
      <w:pPr>
        <w:pStyle w:val="ListParagraph"/>
        <w:numPr>
          <w:ilvl w:val="0"/>
          <w:numId w:val="2"/>
        </w:numPr>
        <w:spacing w:after="60"/>
      </w:pPr>
      <w:r>
        <w:t xml:space="preserve">The member withdraws it later — Savings &gt; My Savings shows their own deposits; Treasurer/Admin can see everyone's under All Savings.</w:t>
      </w:r>
    </w:p>
    <w:p>
      <w:pPr>
        <w:pStyle w:val="Heading1"/>
        <w:pageBreakBefore/>
      </w:pPr>
      <w:r>
        <w:t xml:space="preserve">15. Events</w:t>
      </w:r>
    </w:p>
    <w:p>
      <w:pPr>
        <w:spacing w:after="140"/>
      </w:pPr>
      <w:r>
        <w:t xml:space="preserve">Company meetings and events (AGMs, board meetings, social events) are scheduled and tracked here — every shareholder sees upcoming events (within the next 30-90 days) on their dashboard and gets notified as one approaches.</w:t>
      </w:r>
    </w:p>
    <w:p>
      <w:pPr>
        <w:pStyle w:val="Heading2"/>
        <w:spacing w:after="100" w:before="200"/>
      </w:pPr>
      <w:r>
        <w:t xml:space="preserve">Workflow</w:t>
      </w:r>
    </w:p>
    <w:p>
      <w:pPr>
        <w:pStyle w:val="ListParagraph"/>
        <w:numPr>
          <w:ilvl w:val="0"/>
          <w:numId w:val="2"/>
        </w:numPr>
        <w:spacing w:after="60"/>
      </w:pPr>
      <w:r>
        <w:t xml:space="preserve">Create the event (title, type, date, location).</w:t>
      </w:r>
    </w:p>
    <w:p>
      <w:pPr>
        <w:pStyle w:val="ListParagraph"/>
        <w:numPr>
          <w:ilvl w:val="0"/>
          <w:numId w:val="2"/>
        </w:numPr>
        <w:spacing w:after="60"/>
      </w:pPr>
      <w:r>
        <w:t xml:space="preserve">It's approved before appearing as confirmed.</w:t>
      </w:r>
    </w:p>
    <w:p>
      <w:pPr>
        <w:pStyle w:val="ListParagraph"/>
        <w:numPr>
          <w:ilvl w:val="0"/>
          <w:numId w:val="2"/>
        </w:numPr>
        <w:spacing w:after="60"/>
      </w:pPr>
      <w:r>
        <w:t xml:space="preserve">It can be cancelled with a reason if plans change.</w:t>
      </w:r>
    </w:p>
    <w:p>
      <w:pPr>
        <w:spacing w:after="140"/>
      </w:pPr>
      <w:r>
        <w:t xml:space="preserve">Event Types are a configurable list (Events &gt; Types) — AGM, Board Meeting, Social, etc.</w:t>
      </w:r>
    </w:p>
    <w:p>
      <w:pPr>
        <w:pStyle w:val="Heading1"/>
        <w:pageBreakBefore/>
      </w:pPr>
      <w:r>
        <w:t xml:space="preserve">16. Documents</w:t>
      </w:r>
    </w:p>
    <w:p>
      <w:pPr>
        <w:spacing w:after="140"/>
      </w:pPr>
      <w:r>
        <w:t xml:space="preserve">Every formal document in the system — uploaded files and system-generated ones alike — lives in one place, each with its own reference code, category, and access rules.</w:t>
      </w:r>
    </w:p>
    <w:p>
      <w:pPr>
        <w:pStyle w:val="Heading2"/>
        <w:spacing w:after="100" w:before="200"/>
      </w:pPr>
      <w:r>
        <w:t xml:space="preserve">Two sources</w:t>
      </w:r>
    </w:p>
    <w:p>
      <w:pPr>
        <w:pStyle w:val="ListParagraph"/>
        <w:numPr>
          <w:ilvl w:val="0"/>
          <w:numId w:val="1"/>
        </w:numPr>
        <w:spacing w:after="60"/>
      </w:pPr>
      <w:r>
        <w:t xml:space="preserve">Uploaded — a physical file (PDF, image, etc.) uploaded with a title, type, and category.</w:t>
      </w:r>
    </w:p>
    <w:p>
      <w:pPr>
        <w:pStyle w:val="ListParagraph"/>
        <w:numPr>
          <w:ilvl w:val="0"/>
          <w:numId w:val="1"/>
        </w:numPr>
        <w:spacing w:after="60"/>
      </w:pPr>
      <w:r>
        <w:t xml:space="preserve">System-generated — built from a Handlebars Template (Documents &gt; Templates) and rendered client-side with the company's letterhead when downloaded/printed. Template types include Meeting Minutes, Meeting Agenda, Investment Proposal, Financial Reports, Receipts, Contracts, and Loan/Grant Agreements.</w:t>
      </w:r>
    </w:p>
    <w:p>
      <w:pPr>
        <w:pStyle w:val="Heading2"/>
        <w:spacing w:after="100" w:before="200"/>
      </w:pPr>
      <w:r>
        <w:t xml:space="preserve">Lifecycle</w:t>
      </w:r>
    </w:p>
    <w:p>
      <w:pPr>
        <w:spacing w:after="140"/>
      </w:pPr>
      <w:r>
        <w:t xml:space="preserve">A document starts as DRAFT, is Approved to become FINAL, and can be Archived. Uploading a New Version supersedes the previous one while keeping the full version history linked together for anyone who needs to trace back through it.</w:t>
      </w:r>
    </w:p>
    <w:p>
      <w:pPr>
        <w:pStyle w:val="Heading1"/>
        <w:pageBreakBefore/>
      </w:pPr>
      <w:r>
        <w:t xml:space="preserve">17. Reports</w:t>
      </w:r>
    </w:p>
    <w:p>
      <w:pPr>
        <w:spacing w:after="140"/>
      </w:pPr>
      <w:r>
        <w:t xml:space="preserve">The Reports page is the company's reporting and communication hub: financial reports, the automatic monthly report cycle, and one-off broadcast announcements.</w:t>
      </w:r>
    </w:p>
    <w:p>
      <w:pPr>
        <w:pStyle w:val="Heading2"/>
        <w:spacing w:after="100" w:before="200"/>
      </w:pPr>
      <w:r>
        <w:t xml:space="preserve">General &amp; Individual reports</w:t>
      </w:r>
    </w:p>
    <w:p>
      <w:pPr>
        <w:spacing w:after="140"/>
      </w:pPr>
      <w:r>
        <w:t xml:space="preserve">The General Report (REPORT_VIEW_ALL) shows company-wide financial activity for a chosen month/year. The Individual (My) Report shows one member's own contributions and shareholding for the same period — every member can pull their own anytime.</w:t>
      </w:r>
    </w:p>
    <w:p>
      <w:pPr>
        <w:pStyle w:val="Heading2"/>
        <w:spacing w:after="100" w:before="200"/>
      </w:pPr>
      <w:r>
        <w:t xml:space="preserve">Automatic monthly cycle</w:t>
      </w:r>
    </w:p>
    <w:p>
      <w:pPr>
        <w:spacing w:after="140"/>
      </w:pPr>
      <w:r>
        <w:t xml:space="preserve">On the 1st of every month, the system automatically emails the previous month's General Report to all members (8:00am), then each member's own Individual Report (9:00am), then issues Monthly Certificates of Shares (10:00am) — all for the month that just completed. An Admin can also trigger "Send to All Members" or "Issue Monthly/Annual Certificates" manually at any time from this page, to test the pipeline or reissue on demand.</w:t>
      </w:r>
    </w:p>
    <w:p>
      <w:pPr>
        <w:pStyle w:val="Heading2"/>
        <w:spacing w:after="100" w:before="200"/>
      </w:pPr>
      <w:r>
        <w:t xml:space="preserve">Announcements</w:t>
      </w:r>
    </w:p>
    <w:p>
      <w:pPr>
        <w:spacing w:after="140"/>
      </w:pPr>
      <w:r>
        <w:t xml:space="preserve">Send Announcement (Admin/Treasurer/Secretary) sends a one-off, company-wide email that isn't tied to a specific event's own notification list — general meeting notices, ad-hoc updates, and so on.</w:t>
      </w:r>
    </w:p>
    <w:p>
      <w:pPr>
        <w:pStyle w:val="Heading2"/>
        <w:spacing w:after="100" w:before="200"/>
      </w:pPr>
      <w:r>
        <w:t xml:space="preserve">Audit log</w:t>
      </w:r>
    </w:p>
    <w:p>
      <w:pPr>
        <w:spacing w:after="140"/>
      </w:pPr>
      <w:r>
        <w:t xml:space="preserve">Every sensitive action anywhere in the system — every approval, every setting change, every certificate issued — is written to the Audit Log (Reports &gt; Audit), giving a complete, unalterable trail of who did what and when.</w:t>
      </w:r>
    </w:p>
    <w:p>
      <w:pPr>
        <w:pStyle w:val="Heading1"/>
        <w:pageBreakBefore/>
      </w:pPr>
      <w:r>
        <w:t xml:space="preserve">18. Notifications</w:t>
      </w:r>
    </w:p>
    <w:p>
      <w:pPr>
        <w:spacing w:after="140"/>
      </w:pPr>
      <w:r>
        <w:t xml:space="preserve">The bell icon in the TopBar shows two kinds of notification at once: persisted, per-user notifications (contribution recorded, requisition approved, event invitation, share price updated, etc. — each also emailed automatically) and computed action items (pending approvals you personally have the authority to act on, upcoming events in the next 7 days). Click any notification to jump straight to the relevant page; "Mark all read" clears the persisted feed.</w:t>
      </w:r>
    </w:p>
    <w:p>
      <w:pPr>
        <w:pStyle w:val="Heading1"/>
        <w:pageBreakBefore/>
      </w:pPr>
      <w:r>
        <w:t xml:space="preserve">19. Global Search &amp; Per-Page Filters</w:t>
      </w:r>
    </w:p>
    <w:p>
      <w:pPr>
        <w:spacing w:after="140"/>
      </w:pPr>
      <w:r>
        <w:t xml:space="preserve">The magnifying-glass icon in the TopBar opens Global Search — type at least two characters and it searches Members, Transactions, Documents, Investments, and Events at once (each category only appears if you have permission to view that module), showing up to five results per category. Selecting a result navigates straight to it.</w:t>
      </w:r>
    </w:p>
    <w:p>
      <w:pPr>
        <w:spacing w:after="140"/>
      </w:pPr>
      <w:r>
        <w:t xml:space="preserve">Separately, the list pages themselves (Members, Transactions, Documents, Investments, Loans, Grants, Requisitions, Events, Dividends, Savings, Transfers) each have their own search box directly above the table, filtering only the rows already loaded on that page/tab — instant, and needs no server round-trip.</w:t>
      </w:r>
    </w:p>
    <w:p>
      <w:pPr>
        <w:pStyle w:val="Heading1"/>
        <w:pageBreakBefore/>
      </w:pPr>
      <w:r>
        <w:t xml:space="preserve">20. Mobile Access</w:t>
      </w:r>
    </w:p>
    <w:p>
      <w:pPr>
        <w:spacing w:after="140"/>
      </w:pPr>
      <w:r>
        <w:t xml:space="preserve">The system is fully usable on a phone or tablet, not just a desktop browser.</w:t>
      </w:r>
    </w:p>
    <w:p>
      <w:pPr>
        <w:pStyle w:val="ListParagraph"/>
        <w:numPr>
          <w:ilvl w:val="0"/>
          <w:numId w:val="1"/>
        </w:numPr>
        <w:spacing w:after="60"/>
      </w:pPr>
      <w:r>
        <w:t xml:space="preserve">Navigation: the sidebar is always visible on a wide screen, but tucks off-screen on a phone — tap the menu icon (top-left) to slide it in over the page, tap the backdrop or an X to close it.</w:t>
      </w:r>
    </w:p>
    <w:p>
      <w:pPr>
        <w:pStyle w:val="ListParagraph"/>
        <w:numPr>
          <w:ilvl w:val="0"/>
          <w:numId w:val="1"/>
        </w:numPr>
        <w:spacing w:after="60"/>
      </w:pPr>
      <w:r>
        <w:t xml:space="preserve">Tables: every data table scrolls sideways within its own box on a narrow screen rather than breaking the page — swipe to see columns that don't fit.</w:t>
      </w:r>
    </w:p>
    <w:p>
      <w:pPr>
        <w:pStyle w:val="ListParagraph"/>
        <w:numPr>
          <w:ilvl w:val="0"/>
          <w:numId w:val="1"/>
        </w:numPr>
        <w:spacing w:after="60"/>
      </w:pPr>
      <w:r>
        <w:t xml:space="preserve">Forms: fields that sit two-to-a-row on a desktop stack into a single column on a phone so nothing gets cramped.</w:t>
      </w:r>
    </w:p>
    <w:p>
      <w:pPr>
        <w:pStyle w:val="ListParagraph"/>
        <w:numPr>
          <w:ilvl w:val="0"/>
          <w:numId w:val="1"/>
        </w:numPr>
        <w:spacing w:after="60"/>
      </w:pPr>
      <w:r>
        <w:t xml:space="preserve">Top bar: the account-balance summary (which needs a lot of horizontal room) is hidden below a large-screen breakpoint — check balances on the Accounts page instead when on a small screen.</w:t>
      </w:r>
    </w:p>
    <w:p>
      <w:pPr>
        <w:pStyle w:val="Heading1"/>
        <w:pageBreakBefore/>
      </w:pPr>
      <w:r>
        <w:t xml:space="preserve">Appendix A: Reference Code Formats</w:t>
      </w:r>
    </w:p>
    <w:p>
      <w:pPr>
        <w:spacing w:after="140"/>
      </w:pPr>
      <w:r>
        <w:t xml:space="preserve">Every record of consequence in the system — transactions, transfers, investments, documents, certificates, and more — gets a unique, permanent reference code in the format [MODULE]-[CATEGORY]-[YYYYMM or YYYY]-[00001], generated under a database-level lock so two simultaneous requests can never collide.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D9E2F3" w:val="clear"/>
          </w:tcPr>
          <w:p>
            <w:r>
              <w:rPr>
                <w:b/>
                <w:bCs/>
              </w:rPr>
              <w:t xml:space="preserve">Module code</w:t>
            </w:r>
          </w:p>
        </w:tc>
        <w:tc>
          <w:tcPr>
            <w:tcW w:type="dxa" w:w="7100"/>
            <w:shd w:fill="D9E2F3" w:val="clear"/>
          </w:tcPr>
          <w:p>
            <w:r>
              <w:rPr>
                <w:b/>
                <w:bCs/>
              </w:rPr>
              <w:t xml:space="preserve">Meaning</w:t>
            </w:r>
          </w:p>
        </w:tc>
      </w:tr>
      <w:tr>
        <w:tc>
          <w:tcPr>
            <w:tcW w:type="dxa" w:w="2400"/>
          </w:tcPr>
          <w:p>
            <w:r>
              <w:rPr>
                <w:b w:val="false"/>
                <w:bCs w:val="false"/>
              </w:rPr>
              <w:t xml:space="preserve">PA</w:t>
            </w:r>
          </w:p>
        </w:tc>
        <w:tc>
          <w:tcPr>
            <w:tcW w:type="dxa" w:w="7100"/>
          </w:tcPr>
          <w:p>
            <w:r>
              <w:rPr>
                <w:b w:val="false"/>
                <w:bCs w:val="false"/>
              </w:rPr>
              <w:t xml:space="preserve">Primary Account</w:t>
            </w:r>
          </w:p>
        </w:tc>
      </w:tr>
      <w:tr>
        <w:tc>
          <w:tcPr>
            <w:tcW w:type="dxa" w:w="2400"/>
          </w:tcPr>
          <w:p>
            <w:r>
              <w:rPr>
                <w:b w:val="false"/>
                <w:bCs w:val="false"/>
              </w:rPr>
              <w:t xml:space="preserve">SA</w:t>
            </w:r>
          </w:p>
        </w:tc>
        <w:tc>
          <w:tcPr>
            <w:tcW w:type="dxa" w:w="7100"/>
          </w:tcPr>
          <w:p>
            <w:r>
              <w:rPr>
                <w:b w:val="false"/>
                <w:bCs w:val="false"/>
              </w:rPr>
              <w:t xml:space="preserve">Secondary Account (or the account's own custom prefix, if one is set)</w:t>
            </w:r>
          </w:p>
        </w:tc>
      </w:tr>
      <w:tr>
        <w:tc>
          <w:tcPr>
            <w:tcW w:type="dxa" w:w="2400"/>
          </w:tcPr>
          <w:p>
            <w:r>
              <w:rPr>
                <w:b w:val="false"/>
                <w:bCs w:val="false"/>
              </w:rPr>
              <w:t xml:space="preserve">DOC</w:t>
            </w:r>
          </w:p>
        </w:tc>
        <w:tc>
          <w:tcPr>
            <w:tcW w:type="dxa" w:w="7100"/>
          </w:tcPr>
          <w:p>
            <w:r>
              <w:rPr>
                <w:b w:val="false"/>
                <w:bCs w:val="false"/>
              </w:rPr>
              <w:t xml:space="preserve">Document</w:t>
            </w:r>
          </w:p>
        </w:tc>
      </w:tr>
      <w:tr>
        <w:tc>
          <w:tcPr>
            <w:tcW w:type="dxa" w:w="2400"/>
          </w:tcPr>
          <w:p>
            <w:r>
              <w:rPr>
                <w:b w:val="false"/>
                <w:bCs w:val="false"/>
              </w:rPr>
              <w:t xml:space="preserve">EVT</w:t>
            </w:r>
          </w:p>
        </w:tc>
        <w:tc>
          <w:tcPr>
            <w:tcW w:type="dxa" w:w="7100"/>
          </w:tcPr>
          <w:p>
            <w:r>
              <w:rPr>
                <w:b w:val="false"/>
                <w:bCs w:val="false"/>
              </w:rPr>
              <w:t xml:space="preserve">Event</w:t>
            </w:r>
          </w:p>
        </w:tc>
      </w:tr>
      <w:tr>
        <w:tc>
          <w:tcPr>
            <w:tcW w:type="dxa" w:w="2400"/>
          </w:tcPr>
          <w:p>
            <w:r>
              <w:rPr>
                <w:b w:val="false"/>
                <w:bCs w:val="false"/>
              </w:rPr>
              <w:t xml:space="preserve">INV</w:t>
            </w:r>
          </w:p>
        </w:tc>
        <w:tc>
          <w:tcPr>
            <w:tcW w:type="dxa" w:w="7100"/>
          </w:tcPr>
          <w:p>
            <w:r>
              <w:rPr>
                <w:b w:val="false"/>
                <w:bCs w:val="false"/>
              </w:rPr>
              <w:t xml:space="preserve">Investment</w:t>
            </w:r>
          </w:p>
        </w:tc>
      </w:tr>
      <w:tr>
        <w:tc>
          <w:tcPr>
            <w:tcW w:type="dxa" w:w="2400"/>
          </w:tcPr>
          <w:p>
            <w:r>
              <w:rPr>
                <w:b w:val="false"/>
                <w:bCs w:val="false"/>
              </w:rPr>
              <w:t xml:space="preserve">PRJ</w:t>
            </w:r>
          </w:p>
        </w:tc>
        <w:tc>
          <w:tcPr>
            <w:tcW w:type="dxa" w:w="7100"/>
          </w:tcPr>
          <w:p>
            <w:r>
              <w:rPr>
                <w:b w:val="false"/>
                <w:bCs w:val="false"/>
              </w:rPr>
              <w:t xml:space="preserve">Investment Project</w:t>
            </w:r>
          </w:p>
        </w:tc>
      </w:tr>
      <w:tr>
        <w:tc>
          <w:tcPr>
            <w:tcW w:type="dxa" w:w="2400"/>
          </w:tcPr>
          <w:p>
            <w:r>
              <w:rPr>
                <w:b w:val="false"/>
                <w:bCs w:val="false"/>
              </w:rPr>
              <w:t xml:space="preserve">LNR</w:t>
            </w:r>
          </w:p>
        </w:tc>
        <w:tc>
          <w:tcPr>
            <w:tcW w:type="dxa" w:w="7100"/>
          </w:tcPr>
          <w:p>
            <w:r>
              <w:rPr>
                <w:b w:val="false"/>
                <w:bCs w:val="false"/>
              </w:rPr>
              <w:t xml:space="preserve">Loan Received</w:t>
            </w:r>
          </w:p>
        </w:tc>
      </w:tr>
      <w:tr>
        <w:tc>
          <w:tcPr>
            <w:tcW w:type="dxa" w:w="2400"/>
          </w:tcPr>
          <w:p>
            <w:r>
              <w:rPr>
                <w:b w:val="false"/>
                <w:bCs w:val="false"/>
              </w:rPr>
              <w:t xml:space="preserve">LNG</w:t>
            </w:r>
          </w:p>
        </w:tc>
        <w:tc>
          <w:tcPr>
            <w:tcW w:type="dxa" w:w="7100"/>
          </w:tcPr>
          <w:p>
            <w:r>
              <w:rPr>
                <w:b w:val="false"/>
                <w:bCs w:val="false"/>
              </w:rPr>
              <w:t xml:space="preserve">Loan Given</w:t>
            </w:r>
          </w:p>
        </w:tc>
      </w:tr>
      <w:tr>
        <w:tc>
          <w:tcPr>
            <w:tcW w:type="dxa" w:w="2400"/>
          </w:tcPr>
          <w:p>
            <w:r>
              <w:rPr>
                <w:b w:val="false"/>
                <w:bCs w:val="false"/>
              </w:rPr>
              <w:t xml:space="preserve">GRN</w:t>
            </w:r>
          </w:p>
        </w:tc>
        <w:tc>
          <w:tcPr>
            <w:tcW w:type="dxa" w:w="7100"/>
          </w:tcPr>
          <w:p>
            <w:r>
              <w:rPr>
                <w:b w:val="false"/>
                <w:bCs w:val="false"/>
              </w:rPr>
              <w:t xml:space="preserve">Grant</w:t>
            </w:r>
          </w:p>
        </w:tc>
      </w:tr>
      <w:tr>
        <w:tc>
          <w:tcPr>
            <w:tcW w:type="dxa" w:w="2400"/>
          </w:tcPr>
          <w:p>
            <w:r>
              <w:rPr>
                <w:b w:val="false"/>
                <w:bCs w:val="false"/>
              </w:rPr>
              <w:t xml:space="preserve">TRF</w:t>
            </w:r>
          </w:p>
        </w:tc>
        <w:tc>
          <w:tcPr>
            <w:tcW w:type="dxa" w:w="7100"/>
          </w:tcPr>
          <w:p>
            <w:r>
              <w:rPr>
                <w:b w:val="false"/>
                <w:bCs w:val="false"/>
              </w:rPr>
              <w:t xml:space="preserve">Transfer</w:t>
            </w:r>
          </w:p>
        </w:tc>
      </w:tr>
      <w:tr>
        <w:tc>
          <w:tcPr>
            <w:tcW w:type="dxa" w:w="2400"/>
          </w:tcPr>
          <w:p>
            <w:r>
              <w:rPr>
                <w:b w:val="false"/>
                <w:bCs w:val="false"/>
              </w:rPr>
              <w:t xml:space="preserve">RPT</w:t>
            </w:r>
          </w:p>
        </w:tc>
        <w:tc>
          <w:tcPr>
            <w:tcW w:type="dxa" w:w="7100"/>
          </w:tcPr>
          <w:p>
            <w:r>
              <w:rPr>
                <w:b w:val="false"/>
                <w:bCs w:val="false"/>
              </w:rPr>
              <w:t xml:space="preserve">Report</w:t>
            </w:r>
          </w:p>
        </w:tc>
      </w:tr>
      <w:tr>
        <w:tc>
          <w:tcPr>
            <w:tcW w:type="dxa" w:w="2400"/>
          </w:tcPr>
          <w:p>
            <w:r>
              <w:rPr>
                <w:b w:val="false"/>
                <w:bCs w:val="false"/>
              </w:rPr>
              <w:t xml:space="preserve">SHC</w:t>
            </w:r>
          </w:p>
        </w:tc>
        <w:tc>
          <w:tcPr>
            <w:tcW w:type="dxa" w:w="7100"/>
          </w:tcPr>
          <w:p>
            <w:r>
              <w:rPr>
                <w:b w:val="false"/>
                <w:bCs w:val="false"/>
              </w:rPr>
              <w:t xml:space="preserve">Certificate of Shares (MONTHLY or ANNUAL series)</w:t>
            </w:r>
          </w:p>
        </w:tc>
      </w:tr>
    </w:tbl>
    <w:p>
      <w:pPr>
        <w:pStyle w:val="Heading1"/>
        <w:pageBreakBefore/>
      </w:pPr>
      <w:r>
        <w:t xml:space="preserve">Appendix B: Version History</w:t>
      </w:r>
    </w:p>
    <w:p>
      <w:pPr>
        <w:spacing w:after="140"/>
      </w:pPr>
      <w:r>
        <w:t xml:space="preserve">Every schema change is captured as a numbered, idempotent migration file (migration_vX.X.X.sql) alongside the single-source-of-truth schema.sql used for brand-new installs.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D9E2F3" w:val="clear"/>
          </w:tcPr>
          <w:p>
            <w:r>
              <w:rPr>
                <w:b/>
                <w:bCs/>
              </w:rPr>
              <w:t xml:space="preserve">Version</w:t>
            </w:r>
          </w:p>
        </w:tc>
        <w:tc>
          <w:tcPr>
            <w:tcW w:type="dxa" w:w="7900"/>
            <w:shd w:fill="D9E2F3" w:val="clear"/>
          </w:tcPr>
          <w:p>
            <w:r>
              <w:rPr>
                <w:b/>
                <w:bCs/>
              </w:rPr>
              <w:t xml:space="preserve">What it added</w:t>
            </w:r>
          </w:p>
        </w:tc>
      </w:tr>
      <w:tr>
        <w:tc>
          <w:tcPr>
            <w:tcW w:type="dxa" w:w="1600"/>
          </w:tcPr>
          <w:p>
            <w:r>
              <w:rPr>
                <w:b w:val="false"/>
                <w:bCs w:val="false"/>
              </w:rPr>
              <w:t xml:space="preserve">v1.2.0</w:t>
            </w:r>
          </w:p>
        </w:tc>
        <w:tc>
          <w:tcPr>
            <w:tcW w:type="dxa" w:w="7900"/>
          </w:tcPr>
          <w:p>
            <w:r>
              <w:rPr>
                <w:b w:val="false"/>
                <w:bCs w:val="false"/>
              </w:rPr>
              <w:t xml:space="preserve">Baseline schema this version history begins tracking from.</w:t>
            </w:r>
          </w:p>
        </w:tc>
      </w:tr>
      <w:tr>
        <w:tc>
          <w:tcPr>
            <w:tcW w:type="dxa" w:w="1600"/>
          </w:tcPr>
          <w:p>
            <w:r>
              <w:rPr>
                <w:b w:val="false"/>
                <w:bCs w:val="false"/>
              </w:rPr>
              <w:t xml:space="preserve">v1.3.0</w:t>
            </w:r>
          </w:p>
        </w:tc>
        <w:tc>
          <w:tcPr>
            <w:tcW w:type="dxa" w:w="7900"/>
          </w:tcPr>
          <w:p>
            <w:r>
              <w:rPr>
                <w:b w:val="false"/>
                <w:bCs w:val="false"/>
              </w:rPr>
              <w:t xml:space="preserve">Bond-type investments: face value, coupon rate/frequency, tax withholding, and the bond_coupons payment schedule.</w:t>
            </w:r>
          </w:p>
        </w:tc>
      </w:tr>
      <w:tr>
        <w:tc>
          <w:tcPr>
            <w:tcW w:type="dxa" w:w="1600"/>
          </w:tcPr>
          <w:p>
            <w:r>
              <w:rPr>
                <w:b w:val="false"/>
                <w:bCs w:val="false"/>
              </w:rPr>
              <w:t xml:space="preserve">v1.4.0</w:t>
            </w:r>
          </w:p>
        </w:tc>
        <w:tc>
          <w:tcPr>
            <w:tcW w:type="dxa" w:w="7900"/>
          </w:tcPr>
          <w:p>
            <w:r>
              <w:rPr>
                <w:b w:val="false"/>
                <w:bCs w:val="false"/>
              </w:rPr>
              <w:t xml:space="preserve">The Assistant Treasurer role, and requisition support for member-initiated Contribution Acknowledgements.</w:t>
            </w:r>
          </w:p>
        </w:tc>
      </w:tr>
      <w:tr>
        <w:tc>
          <w:tcPr>
            <w:tcW w:type="dxa" w:w="1600"/>
          </w:tcPr>
          <w:p>
            <w:r>
              <w:rPr>
                <w:b w:val="false"/>
                <w:bCs w:val="false"/>
              </w:rPr>
              <w:t xml:space="preserve">v1.5.0</w:t>
            </w:r>
          </w:p>
        </w:tc>
        <w:tc>
          <w:tcPr>
            <w:tcW w:type="dxa" w:w="7900"/>
          </w:tcPr>
          <w:p>
            <w:r>
              <w:rPr>
                <w:b w:val="false"/>
                <w:bCs w:val="false"/>
              </w:rPr>
              <w:t xml:space="preserve">Investment Transactions (income/expense/tax entries against an investment's own budget) and Company Settings (editable branding).</w:t>
            </w:r>
          </w:p>
        </w:tc>
      </w:tr>
      <w:tr>
        <w:tc>
          <w:tcPr>
            <w:tcW w:type="dxa" w:w="1600"/>
          </w:tcPr>
          <w:p>
            <w:r>
              <w:rPr>
                <w:b w:val="false"/>
                <w:bCs w:val="false"/>
              </w:rPr>
              <w:t xml:space="preserve">v1.6.0</w:t>
            </w:r>
          </w:p>
        </w:tc>
        <w:tc>
          <w:tcPr>
            <w:tcW w:type="dxa" w:w="7900"/>
          </w:tcPr>
          <w:p>
            <w:r>
              <w:rPr>
                <w:b w:val="false"/>
                <w:bCs w:val="false"/>
              </w:rPr>
              <w:t xml:space="preserve">Notifications (bell + auto-email), Share Price history, and per-account reference-code prefixes.</w:t>
            </w:r>
          </w:p>
        </w:tc>
      </w:tr>
      <w:tr>
        <w:tc>
          <w:tcPr>
            <w:tcW w:type="dxa" w:w="1600"/>
          </w:tcPr>
          <w:p>
            <w:r>
              <w:rPr>
                <w:b w:val="false"/>
                <w:bCs w:val="false"/>
              </w:rPr>
              <w:t xml:space="preserve">v1.7.0</w:t>
            </w:r>
          </w:p>
        </w:tc>
        <w:tc>
          <w:tcPr>
            <w:tcW w:type="dxa" w:w="7900"/>
          </w:tcPr>
          <w:p>
            <w:r>
              <w:rPr>
                <w:b w:val="false"/>
                <w:bCs w:val="false"/>
              </w:rPr>
              <w:t xml:space="preserve">Company About content (Description/Mission/Vision/Core Values) and Currency Exchange Rates.</w:t>
            </w:r>
          </w:p>
        </w:tc>
      </w:tr>
      <w:tr>
        <w:tc>
          <w:tcPr>
            <w:tcW w:type="dxa" w:w="1600"/>
          </w:tcPr>
          <w:p>
            <w:r>
              <w:rPr>
                <w:b w:val="false"/>
                <w:bCs w:val="false"/>
              </w:rPr>
              <w:t xml:space="preserve">v1.8.0</w:t>
            </w:r>
          </w:p>
        </w:tc>
        <w:tc>
          <w:tcPr>
            <w:tcW w:type="dxa" w:w="7900"/>
          </w:tcPr>
          <w:p>
            <w:r>
              <w:rPr>
                <w:b w:val="false"/>
                <w:bCs w:val="false"/>
              </w:rPr>
              <w:t xml:space="preserve">Certificates of Shares (Monthly and Annual), issued on demand or automatically, emailed as a PDF.</w:t>
            </w:r>
          </w:p>
        </w:tc>
      </w:tr>
    </w:tbl>
    <w:p>
      <w:pPr>
        <w:spacing w:after="140"/>
      </w:pPr>
      <w:r>
        <w:t xml:space="preserve">When running a migration through pgAdmin's Query Tool rather than the application's own database role, remember to re-run the standing permissions grant afterward so the app's runtime role keeps full rights over any newly created tables and their auto-increment sequences:</w:t>
      </w:r>
    </w:p>
    <w:p>
      <w:pPr>
        <w:spacing w:after="60"/>
      </w:pPr>
      <w:r>
        <w:rPr>
          <w:rFonts w:ascii="Consolas" w:cs="Consolas" w:eastAsia="Consolas" w:hAnsi="Consolas"/>
        </w:rPr>
        <w:t xml:space="preserve">GRANT USAGE, SELECT ON ALL SEQUENCES IN SCHEMA public TO cms_user;</w:t>
      </w:r>
    </w:p>
    <w:p>
      <w:pPr>
        <w:spacing w:after="140"/>
      </w:pPr>
      <w:r>
        <w:rPr>
          <w:rFonts w:ascii="Consolas" w:cs="Consolas" w:eastAsia="Consolas" w:hAnsi="Consolas"/>
        </w:rPr>
        <w:t xml:space="preserve">GRANT ALL PRIVILEGES ON ALL TABLES IN SCHEMA public TO cms_user;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e3a5f"/>
      <w:sz w:val="32"/>
      <w:szCs w:val="32"/>
    </w:rPr>
  </w:style>
  <w:style w:type="paragraph" w:styleId="Heading2">
    <w:name w:val="Heading 2"/>
    <w:basedOn w:val="Normal"/>
    <w:next w:val="Normal"/>
    <w:qFormat/>
    <w:pPr>
      <w:outlineLvl w:val="1"/>
    </w:pPr>
    <w:rPr>
      <w:b/>
      <w:bCs/>
      <w:color w:val="1e3a5f"/>
      <w:sz w:val="26"/>
      <w:szCs w:val="26"/>
    </w:rPr>
  </w:style>
  <w:style w:type="paragraph" w:styleId="Heading3">
    <w:name w:val="Heading 3"/>
    <w:basedOn w:val="Normal"/>
    <w:next w:val="Normal"/>
    <w:qFormat/>
    <w:pPr>
      <w:outlineLvl w:val="2"/>
    </w:pPr>
    <w:rPr>
      <w:b/>
      <w:bCs/>
      <w:color w:val="c9a2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2026-07-18T22:26:54.458Z</dcterms:created>
  <dcterms:modified xsi:type="dcterms:W3CDTF">2026-07-18T22:26:54.458Z</dcterms:modified>
</cp:coreProperties>
</file>

<file path=docProps/custom.xml><?xml version="1.0" encoding="utf-8"?>
<Properties xmlns="http://schemas.openxmlformats.org/officeDocument/2006/custom-properties" xmlns:vt="http://schemas.openxmlformats.org/officeDocument/2006/docPropsVTypes"/>
</file>