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52.png" ContentType="image/png"/>
  <Override PartName="/word/media/rId29.png" ContentType="image/png"/>
  <Override PartName="/word/media/rId30.png" ContentType="image/png"/>
  <Override PartName="/word/media/rId40.png" ContentType="image/png"/>
  <Override PartName="/word/media/rId47.png" ContentType="image/png"/>
  <Override PartName="/word/media/rId44.png" ContentType="image/png"/>
  <Override PartName="/word/media/rId49.png" ContentType="image/png"/>
  <Override PartName="/word/media/rId35.png" ContentType="image/png"/>
  <Override PartName="/word/media/rId55.png" ContentType="image/png"/>
  <Override PartName="/word/media/rId60.png" ContentType="image/png"/>
  <Override PartName="/word/media/rId71.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Customs</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Customs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Customs Ledger (IGL) is proposed as an approach to the transfer of shipment related documents between customs agencies which is immediate, permanent and irrefutable. The intercustoms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intercustoms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5334000"/>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component-model"/>
      <w:r>
        <w:t xml:space="preserve">Component Model</w:t>
      </w:r>
      <w:bookmarkEnd w:id="43"/>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44"/>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07"/>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07"/>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07"/>
          <w:ilvl w:val="0"/>
        </w:numPr>
      </w:pPr>
      <w:r>
        <w:t xml:space="preserve">An event manager exposes the subscriptions API and allows client systems to subscribe to notifications about messages that they post.</w:t>
      </w:r>
    </w:p>
    <w:p>
      <w:pPr>
        <w:pStyle w:val="Heading2"/>
      </w:pPr>
      <w:bookmarkStart w:id="45" w:name="sequence-model"/>
      <w:r>
        <w:t xml:space="preserve">Sequence Model</w:t>
      </w:r>
      <w:bookmarkEnd w:id="45"/>
    </w:p>
    <w:p>
      <w:pPr>
        <w:pStyle w:val="Heading3"/>
      </w:pPr>
      <w:bookmarkStart w:id="46" w:name="client-sequence"/>
      <w:r>
        <w:t xml:space="preserve">Client sequence</w:t>
      </w:r>
      <w:bookmarkEnd w:id="46"/>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47"/>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08"/>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08"/>
          <w:ilvl w:val="0"/>
        </w:numPr>
      </w:pPr>
      <w:r>
        <w:t xml:space="preserve">The client system POSTs an IGL message to the message API together with an access token from the IDP.</w:t>
      </w:r>
    </w:p>
    <w:p>
      <w:pPr>
        <w:pStyle w:val="Compact"/>
        <w:numPr>
          <w:numId w:val="1008"/>
          <w:ilvl w:val="0"/>
        </w:numPr>
      </w:pPr>
      <w:r>
        <w:t xml:space="preserve">The IGL node uses message metadata to determine the relevant IGL channel (or returns an error if there is no matching channel)</w:t>
      </w:r>
    </w:p>
    <w:p>
      <w:pPr>
        <w:pStyle w:val="Compact"/>
        <w:numPr>
          <w:numId w:val="1008"/>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08"/>
          <w:ilvl w:val="0"/>
        </w:numPr>
      </w:pPr>
      <w:r>
        <w:t xml:space="preserve">The counter party on the network detects the new message, gets the document, and notifies any subscribed parties (eg a government agency in country B) of the new message.</w:t>
      </w:r>
    </w:p>
    <w:p>
      <w:pPr>
        <w:pStyle w:val="Compact"/>
        <w:numPr>
          <w:numId w:val="1008"/>
          <w:ilvl w:val="0"/>
        </w:numPr>
      </w:pPr>
      <w:r>
        <w:t xml:space="preserve">The message is processed by the receiving agency business systems.</w:t>
      </w:r>
    </w:p>
    <w:p>
      <w:pPr>
        <w:pStyle w:val="Compact"/>
        <w:numPr>
          <w:numId w:val="1008"/>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2"/>
      </w:pPr>
      <w:bookmarkStart w:id="48" w:name="node-sequence"/>
      <w:r>
        <w:t xml:space="preserve">Node Sequence</w:t>
      </w:r>
      <w:bookmarkEnd w:id="48"/>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49"/>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09"/>
          <w:ilvl w:val="0"/>
        </w:numPr>
      </w:pPr>
      <w:r>
        <w:t xml:space="preserve">A new message is received from a client by the message API</w:t>
      </w:r>
    </w:p>
    <w:p>
      <w:pPr>
        <w:pStyle w:val="Compact"/>
        <w:numPr>
          <w:numId w:val="1009"/>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09"/>
          <w:ilvl w:val="0"/>
        </w:numPr>
      </w:pPr>
      <w:r>
        <w:t xml:space="preserve">The document API will return a unique fingerprint (multi-hash) of the stored document and will update it’s access control to allow read access by the recipient country authority.</w:t>
      </w:r>
    </w:p>
    <w:p>
      <w:pPr>
        <w:pStyle w:val="Compact"/>
        <w:numPr>
          <w:numId w:val="1009"/>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09"/>
          <w:ilvl w:val="0"/>
        </w:numPr>
      </w:pPr>
      <w:r>
        <w:t xml:space="preserve">The channel node requests a new ledger transaction comprising a semantic triple</w:t>
      </w:r>
    </w:p>
    <w:p>
      <w:pPr>
        <w:pStyle w:val="Compact"/>
        <w:numPr>
          <w:numId w:val="1010"/>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0"/>
          <w:ilvl w:val="1"/>
        </w:numPr>
      </w:pPr>
      <w:r>
        <w:t xml:space="preserve">Object is the unique fingerprint (multihash) of the document that is attached to the message and stored in the document repository.</w:t>
      </w:r>
    </w:p>
    <w:p>
      <w:pPr>
        <w:pStyle w:val="Compact"/>
        <w:numPr>
          <w:numId w:val="1010"/>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09"/>
          <w:ilvl w:val="0"/>
        </w:numPr>
      </w:pPr>
      <w:r>
        <w:t xml:space="preserve">The channel completes consensus and writes a new block - this process is specific to the particular DLT technology (eg ethereum or hyperledger).</w:t>
      </w:r>
    </w:p>
    <w:p>
      <w:pPr>
        <w:pStyle w:val="Compact"/>
        <w:numPr>
          <w:numId w:val="1009"/>
          <w:ilvl w:val="0"/>
        </w:numPr>
      </w:pPr>
      <w:r>
        <w:t xml:space="preserve">once the new block is successfully written the channel node notifies the IGL worker which will send a callback event to all subscribed clients via the event manager.</w:t>
      </w:r>
    </w:p>
    <w:p>
      <w:pPr>
        <w:pStyle w:val="Compact"/>
        <w:numPr>
          <w:numId w:val="1009"/>
          <w:ilvl w:val="0"/>
        </w:numPr>
      </w:pPr>
      <w:r>
        <w:t xml:space="preserve">The new transaction is observed by the counter party IGL node which reads the transaction (ie the semantic triple)</w:t>
      </w:r>
    </w:p>
    <w:p>
      <w:pPr>
        <w:pStyle w:val="Compact"/>
        <w:numPr>
          <w:numId w:val="1009"/>
          <w:ilvl w:val="0"/>
        </w:numPr>
      </w:pPr>
      <w:r>
        <w:t xml:space="preserve">The recipient country node GETs the document identified by the Object multihash from the sender country repository. Authentication is via mutual SSL.</w:t>
      </w:r>
    </w:p>
    <w:p>
      <w:pPr>
        <w:pStyle w:val="Compact"/>
        <w:numPr>
          <w:numId w:val="1009"/>
          <w:ilvl w:val="0"/>
        </w:numPr>
      </w:pPr>
      <w:r>
        <w:t xml:space="preserve">The recipient country IGL node notifies any subscribed clients of the new transaction via the event manager of the recipient IGL node.</w:t>
      </w:r>
    </w:p>
    <w:p>
      <w:pPr>
        <w:pStyle w:val="Heading2"/>
      </w:pPr>
      <w:bookmarkStart w:id="50" w:name="api-specifications"/>
      <w:r>
        <w:t xml:space="preserve">API Specifications</w:t>
      </w:r>
      <w:bookmarkEnd w:id="50"/>
    </w:p>
    <w:p>
      <w:pPr>
        <w:pStyle w:val="FirstParagraph"/>
      </w:pPr>
      <w:r>
        <w:t xml:space="preserve">There are five API specifications that define the standard interfaces provided by any IGL node.</w:t>
      </w:r>
    </w:p>
    <w:p>
      <w:pPr>
        <w:pStyle w:val="Heading3"/>
      </w:pPr>
      <w:bookmarkStart w:id="51" w:name="document-api"/>
      <w:r>
        <w:t xml:space="preserve">Document API</w:t>
      </w:r>
      <w:bookmarkEnd w:id="51"/>
    </w:p>
    <w:p>
      <w:pPr>
        <w:pStyle w:val="FirstParagraph"/>
      </w:pPr>
      <w:r>
        <w:t xml:space="preserve">The document API is used by authorised IGL clients to submit cross border regulatory or trade documents to an IGL node. The document API is used to submit documents</w:t>
      </w:r>
      <w:r>
        <w:t xml:space="preserve"> </w:t>
      </w:r>
      <w:r>
        <w:rPr>
          <w:b/>
        </w:rPr>
        <w:t xml:space="preserve">before</w:t>
      </w:r>
      <w:r>
        <w:t xml:space="preserve"> </w:t>
      </w:r>
      <w:r>
        <w:t xml:space="preserve">invoking the message API to advise the other country of the existance of a new document.</w:t>
      </w:r>
      <w:r>
        <w:t xml:space="preserve"> </w:t>
      </w:r>
      <w:r>
        <w:t xml:space="preserve">The document API is also used by receiving jurisdictions to retreive documents that are referenced by an IGL message.</w:t>
      </w:r>
    </w:p>
    <w:p>
      <w:pPr>
        <w:pStyle w:val="CaptionedFigure"/>
      </w:pPr>
      <w:r>
        <w:drawing>
          <wp:inline>
            <wp:extent cx="5334000" cy="4864273"/>
            <wp:effectExtent b="0" l="0" r="0" t="0"/>
            <wp:docPr descr="Document API" title="" id="1" name="Picture"/>
            <a:graphic>
              <a:graphicData uri="http://schemas.openxmlformats.org/drawingml/2006/picture">
                <pic:pic>
                  <pic:nvPicPr>
                    <pic:cNvPr descr="DocumentAPI.png" id="0" name="Picture"/>
                    <pic:cNvPicPr>
                      <a:picLocks noChangeArrowheads="1" noChangeAspect="1"/>
                    </pic:cNvPicPr>
                  </pic:nvPicPr>
                  <pic:blipFill>
                    <a:blip r:embed="rId52"/>
                    <a:stretch>
                      <a:fillRect/>
                    </a:stretch>
                  </pic:blipFill>
                  <pic:spPr bwMode="auto">
                    <a:xfrm>
                      <a:off x="0" y="0"/>
                      <a:ext cx="5334000" cy="4864273"/>
                    </a:xfrm>
                    <a:prstGeom prst="rect">
                      <a:avLst/>
                    </a:prstGeom>
                    <a:noFill/>
                    <a:ln w="9525">
                      <a:noFill/>
                      <a:headEnd/>
                      <a:tailEnd/>
                    </a:ln>
                  </pic:spPr>
                </pic:pic>
              </a:graphicData>
            </a:graphic>
          </wp:inline>
        </w:drawing>
      </w:r>
    </w:p>
    <w:p>
      <w:pPr>
        <w:pStyle w:val="ImageCaption"/>
      </w:pPr>
      <w:r>
        <w:t xml:space="preserve">Document API</w:t>
      </w:r>
    </w:p>
    <w:p>
      <w:pPr>
        <w:pStyle w:val="BodyText"/>
      </w:pPr>
      <w:r>
        <w:t xml:space="preserve">An IGL document MUST conform to the API schema and so always includes:</w:t>
      </w:r>
    </w:p>
    <w:p>
      <w:pPr>
        <w:pStyle w:val="Compact"/>
        <w:numPr>
          <w:numId w:val="1011"/>
          <w:ilvl w:val="0"/>
        </w:numPr>
      </w:pPr>
      <w:r>
        <w:t xml:space="preserve">A sender specified reference (typically a business identifier like an invoice number)</w:t>
      </w:r>
    </w:p>
    <w:p>
      <w:pPr>
        <w:pStyle w:val="Compact"/>
        <w:numPr>
          <w:numId w:val="1011"/>
          <w:ilvl w:val="0"/>
        </w:numPr>
      </w:pPr>
      <w:r>
        <w:t xml:space="preserve">A human readable document name (eg</w:t>
      </w:r>
      <w:r>
        <w:t xml:space="preserve"> </w:t>
      </w:r>
      <w:r>
        <w:t xml:space="preserve">“</w:t>
      </w:r>
      <w:r>
        <w:t xml:space="preserve">certificate of Origin</w:t>
      </w:r>
      <w:r>
        <w:t xml:space="preserve">”</w:t>
      </w:r>
      <w:r>
        <w:t xml:space="preserve">)</w:t>
      </w:r>
    </w:p>
    <w:p>
      <w:pPr>
        <w:pStyle w:val="Compact"/>
        <w:numPr>
          <w:numId w:val="1011"/>
          <w:ilvl w:val="0"/>
        </w:numPr>
      </w:pPr>
      <w:r>
        <w:t xml:space="preserve">The issuer ID (which must also be supported by an identity proof)</w:t>
      </w:r>
    </w:p>
    <w:p>
      <w:pPr>
        <w:pStyle w:val="Compact"/>
        <w:numPr>
          <w:numId w:val="1011"/>
          <w:ilvl w:val="0"/>
        </w:numPr>
      </w:pPr>
      <w:r>
        <w:t xml:space="preserve">some structured data - using JSON-LD and conforming to a well undertood ontology (JSON-LD</w:t>
      </w:r>
      <w:r>
        <w:t xml:space="preserve"> </w:t>
      </w:r>
      <w:r>
        <w:t xml:space="preserve">@context</w:t>
      </w:r>
      <w:r>
        <w:t xml:space="preserve">) that is supported by the IGL channel policy.</w:t>
      </w:r>
    </w:p>
    <w:p>
      <w:pPr>
        <w:pStyle w:val="Compact"/>
        <w:numPr>
          <w:numId w:val="1011"/>
          <w:ilvl w:val="0"/>
        </w:numPr>
      </w:pPr>
      <w:r>
        <w:t xml:space="preserve">zero or more binary attachments</w:t>
      </w:r>
    </w:p>
    <w:p>
      <w:pPr>
        <w:pStyle w:val="Compact"/>
        <w:numPr>
          <w:numId w:val="1011"/>
          <w:ilvl w:val="0"/>
        </w:numPr>
      </w:pPr>
      <w:r>
        <w:t xml:space="preserve">one or more</w:t>
      </w:r>
      <w:r>
        <w:t xml:space="preserve"> </w:t>
      </w:r>
      <w:hyperlink r:id="rId53">
        <w:r>
          <w:rPr>
            <w:rStyle w:val="Hyperlink"/>
          </w:rPr>
          <w:t xml:space="preserve">W3C Verifiable credential</w:t>
        </w:r>
      </w:hyperlink>
      <w:r>
        <w:t xml:space="preserve"> </w:t>
      </w:r>
      <w:r>
        <w:t xml:space="preserve">proofs. The mimimum is the identity proof for the issuer.</w:t>
      </w:r>
    </w:p>
    <w:p>
      <w:pPr>
        <w:pStyle w:val="FirstParagraph"/>
      </w:pPr>
      <w:r>
        <w:t xml:space="preserve">The ID of the document is always the merkle hash of all binaries, proofs, and structured data that comprise the document. If a document is updated with modified metadata, binaries, or proofs, then the new version will have a new merkel hash and an incremented version sequence number.</w:t>
      </w:r>
    </w:p>
    <w:p>
      <w:pPr>
        <w:pStyle w:val="SourceCode"/>
      </w:pPr>
      <w:r>
        <w:rPr>
          <w:rStyle w:val="VerbatimChar"/>
        </w:rPr>
        <w:t xml:space="preserve">OpenAPI 3.0 Specifciation to be added here</w:t>
      </w:r>
    </w:p>
    <w:p>
      <w:pPr>
        <w:pStyle w:val="Heading3"/>
      </w:pPr>
      <w:bookmarkStart w:id="54" w:name="message-api"/>
      <w:r>
        <w:t xml:space="preserve">Message API</w:t>
      </w:r>
      <w:bookmarkEnd w:id="54"/>
    </w:p>
    <w:p>
      <w:pPr>
        <w:pStyle w:val="FirstParagraph"/>
      </w:pPr>
      <w:r>
        <w:t xml:space="preserve">The message API is used by authorised IGL clients to send messages to other countries via channels supported by the node. The messages may reference a previously submitted document using the merkel hash ID of the document as the</w:t>
      </w:r>
      <w:r>
        <w:t xml:space="preserve"> </w:t>
      </w:r>
      <w:r>
        <w:t xml:space="preserve">“</w:t>
      </w:r>
      <w:r>
        <w:t xml:space="preserve">object</w:t>
      </w:r>
      <w:r>
        <w:t xml:space="preserve">”</w:t>
      </w:r>
      <w:r>
        <w:t xml:space="preserve"> </w:t>
      </w:r>
      <w:r>
        <w:t xml:space="preserve">of the message.</w:t>
      </w:r>
    </w:p>
    <w:p>
      <w:pPr>
        <w:pStyle w:val="CaptionedFigure"/>
      </w:pPr>
      <w:r>
        <w:drawing>
          <wp:inline>
            <wp:extent cx="5334000" cy="6539423"/>
            <wp:effectExtent b="0" l="0" r="0" t="0"/>
            <wp:docPr descr="Message API" title="" id="1" name="Picture"/>
            <a:graphic>
              <a:graphicData uri="http://schemas.openxmlformats.org/drawingml/2006/picture">
                <pic:pic>
                  <pic:nvPicPr>
                    <pic:cNvPr descr="MessageAPI.png" id="0" name="Picture"/>
                    <pic:cNvPicPr>
                      <a:picLocks noChangeArrowheads="1" noChangeAspect="1"/>
                    </pic:cNvPicPr>
                  </pic:nvPicPr>
                  <pic:blipFill>
                    <a:blip r:embed="rId55"/>
                    <a:stretch>
                      <a:fillRect/>
                    </a:stretch>
                  </pic:blipFill>
                  <pic:spPr bwMode="auto">
                    <a:xfrm>
                      <a:off x="0" y="0"/>
                      <a:ext cx="5334000" cy="6539423"/>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IGL messages are essentially semantic triples (subject, predicate, object) that are sent from a sending jurisdiction to a receiving jurisdiction over an IGL channel that supports the predicate. For example, for a ceritficate of origin sent from Australia to China, the message properties might be</w:t>
      </w:r>
    </w:p>
    <w:p>
      <w:pPr>
        <w:pStyle w:val="Compact"/>
        <w:numPr>
          <w:numId w:val="1012"/>
          <w:ilvl w:val="0"/>
        </w:numPr>
      </w:pPr>
      <w:r>
        <w:t xml:space="preserve">Sender = AU</w:t>
      </w:r>
    </w:p>
    <w:p>
      <w:pPr>
        <w:pStyle w:val="Compact"/>
        <w:numPr>
          <w:numId w:val="1012"/>
          <w:ilvl w:val="0"/>
        </w:numPr>
      </w:pPr>
      <w:r>
        <w:t xml:space="preserve">receiver = CN</w:t>
      </w:r>
    </w:p>
    <w:p>
      <w:pPr>
        <w:pStyle w:val="Compact"/>
        <w:numPr>
          <w:numId w:val="1012"/>
          <w:ilvl w:val="0"/>
        </w:numPr>
      </w:pPr>
      <w:r>
        <w:t xml:space="preserve">predicate =</w:t>
      </w:r>
      <w:r>
        <w:t xml:space="preserve"> </w:t>
      </w:r>
      <w:r>
        <w:t xml:space="preserve">“</w:t>
      </w:r>
      <w:r>
        <w:t xml:space="preserve">unece.un.org:coo:created</w:t>
      </w:r>
      <w:r>
        <w:t xml:space="preserve">”</w:t>
      </w:r>
      <w:r>
        <w:t xml:space="preserve"> </w:t>
      </w:r>
      <w:r>
        <w:t xml:space="preserve">- defines the type of message (in this case that a certificate of origin has been created) - must be drawn from a well understood ontology and much match the channel policy.</w:t>
      </w:r>
    </w:p>
    <w:p>
      <w:pPr>
        <w:pStyle w:val="Compact"/>
        <w:numPr>
          <w:numId w:val="1012"/>
          <w:ilvl w:val="0"/>
        </w:numPr>
      </w:pPr>
      <w:r>
        <w:t xml:space="preserve">subject =</w:t>
      </w:r>
      <w:r>
        <w:t xml:space="preserve"> </w:t>
      </w:r>
      <w:r>
        <w:t xml:space="preserve">“</w:t>
      </w:r>
      <w:r>
        <w:t xml:space="preserve">chamber.com.au:chafta-coo:123</w:t>
      </w:r>
      <w:r>
        <w:t xml:space="preserve">”</w:t>
      </w:r>
      <w:r>
        <w:t xml:space="preserve"> </w:t>
      </w:r>
      <w:r>
        <w:t xml:space="preserve">- defines the identity of the message and must be a unique IRI</w:t>
      </w:r>
    </w:p>
    <w:p>
      <w:pPr>
        <w:pStyle w:val="Compact"/>
        <w:numPr>
          <w:numId w:val="1012"/>
          <w:ilvl w:val="0"/>
        </w:numPr>
      </w:pPr>
      <w:r>
        <w:t xml:space="preserve">object = a5c841c07663e6992389d27037369d4eb4972cc062f2b962ebadf8599b26fcbf - the merkel hash of the related document.</w:t>
      </w:r>
    </w:p>
    <w:p>
      <w:pPr>
        <w:pStyle w:val="FirstParagraph"/>
      </w:pPr>
      <w:r>
        <w:t xml:space="preserve">Messages have a simple state lifecycle (pending, bundled, sent, delivered, failed, withdrawn)</w:t>
      </w:r>
    </w:p>
    <w:p>
      <w:pPr>
        <w:pStyle w:val="BodyText"/>
      </w:pPr>
      <w:r>
        <w:t xml:space="preserve">In some cases, channel policy may permit the transmission of additional related information about a message as a further set of semantic triples. In this way, recipients can build semantic graphs of related data (eg certificate of origin 1234 is linked to consignment 5678 that is on voyage 9123)</w:t>
      </w:r>
    </w:p>
    <w:p>
      <w:pPr>
        <w:pStyle w:val="SourceCode"/>
      </w:pPr>
      <w:r>
        <w:rPr>
          <w:rStyle w:val="VerbatimChar"/>
        </w:rPr>
        <w:t xml:space="preserve">OpenAPI 3.0 Specifciation to be added here</w:t>
      </w:r>
    </w:p>
    <w:p>
      <w:pPr>
        <w:pStyle w:val="Heading3"/>
      </w:pPr>
      <w:bookmarkStart w:id="56" w:name="subscriptions-api"/>
      <w:r>
        <w:t xml:space="preserve">Subscriptions API</w:t>
      </w:r>
      <w:bookmarkEnd w:id="56"/>
    </w:p>
    <w:p>
      <w:pPr>
        <w:pStyle w:val="FirstParagraph"/>
      </w:pPr>
      <w:r>
        <w:t xml:space="preserve">The subscriptions API allows IGL clients to be notiofed when there is a message for them. The IGL subscriptions service will POST any IGL messages that match the subscription pattern to the subscribers callback API.</w:t>
      </w:r>
    </w:p>
    <w:p>
      <w:pPr>
        <w:pStyle w:val="CaptionedFigure"/>
      </w:pPr>
      <w:r>
        <w:drawing>
          <wp:inline>
            <wp:extent cx="5334000" cy="3748216"/>
            <wp:effectExtent b="0" l="0" r="0" t="0"/>
            <wp:docPr descr="Subscription API" title="" id="1" name="Picture"/>
            <a:graphic>
              <a:graphicData uri="http://schemas.openxmlformats.org/drawingml/2006/picture">
                <pic:pic>
                  <pic:nvPicPr>
                    <pic:cNvPr descr="SubscriptionAPI.png" id="0" name="Picture"/>
                    <pic:cNvPicPr>
                      <a:picLocks noChangeArrowheads="1" noChangeAspect="1"/>
                    </pic:cNvPicPr>
                  </pic:nvPicPr>
                  <pic:blipFill>
                    <a:blip r:embed="rId57"/>
                    <a:stretch>
                      <a:fillRect/>
                    </a:stretch>
                  </pic:blipFill>
                  <pic:spPr bwMode="auto">
                    <a:xfrm>
                      <a:off x="0" y="0"/>
                      <a:ext cx="5334000" cy="3748216"/>
                    </a:xfrm>
                    <a:prstGeom prst="rect">
                      <a:avLst/>
                    </a:prstGeom>
                    <a:noFill/>
                    <a:ln w="9525">
                      <a:noFill/>
                      <a:headEnd/>
                      <a:tailEnd/>
                    </a:ln>
                  </pic:spPr>
                </pic:pic>
              </a:graphicData>
            </a:graphic>
          </wp:inline>
        </w:drawing>
      </w:r>
    </w:p>
    <w:p>
      <w:pPr>
        <w:pStyle w:val="ImageCaption"/>
      </w:pPr>
      <w:r>
        <w:t xml:space="preserve">Subscription API</w:t>
      </w:r>
    </w:p>
    <w:p>
      <w:pPr>
        <w:pStyle w:val="BodyText"/>
      </w:pPr>
      <w:r>
        <w:t xml:space="preserve">There are two type of subscribers</w:t>
      </w:r>
      <w:r>
        <w:t xml:space="preserve"> </w:t>
      </w:r>
      <w:r>
        <w:t xml:space="preserve">* members of the regulated community - can subscribe to updates about messages they have sent (eg keep me updated about CoO number 123)</w:t>
      </w:r>
      <w:r>
        <w:t xml:space="preserve"> </w:t>
      </w:r>
      <w:r>
        <w:t xml:space="preserve">* regulators - can subscribe to predicate topic streams (ie tell me about all CoOs).</w:t>
      </w:r>
    </w:p>
    <w:p>
      <w:pPr>
        <w:pStyle w:val="SourceCode"/>
      </w:pPr>
      <w:r>
        <w:rPr>
          <w:rStyle w:val="VerbatimChar"/>
        </w:rPr>
        <w:t xml:space="preserve">OpenAPI 3.0 Specifciation to be added here</w:t>
      </w:r>
    </w:p>
    <w:p>
      <w:pPr>
        <w:pStyle w:val="Heading3"/>
      </w:pPr>
      <w:bookmarkStart w:id="58" w:name="channel-api"/>
      <w:r>
        <w:t xml:space="preserve">Channel API</w:t>
      </w:r>
      <w:bookmarkEnd w:id="58"/>
    </w:p>
    <w:p>
      <w:pPr>
        <w:pStyle w:val="FirstParagraph"/>
      </w:pPr>
      <w:r>
        <w:t xml:space="preserve">to-do : document this</w:t>
      </w:r>
      <w:r>
        <w:t xml:space="preserve"> </w:t>
      </w:r>
      <w:r>
        <w:t xml:space="preserve">to-do : add swagger spec</w:t>
      </w:r>
    </w:p>
    <w:p>
      <w:pPr>
        <w:pStyle w:val="Heading3"/>
      </w:pPr>
      <w:bookmarkStart w:id="59" w:name="registry-api"/>
      <w:r>
        <w:t xml:space="preserve">Registry API</w:t>
      </w:r>
      <w:bookmarkEnd w:id="59"/>
    </w:p>
    <w:p>
      <w:pPr>
        <w:pStyle w:val="FirstParagraph"/>
      </w:pPr>
      <w:r>
        <w:t xml:space="preserve">The registry API supports the query of channels on an IGL node channel registry.</w:t>
      </w:r>
    </w:p>
    <w:p>
      <w:pPr>
        <w:pStyle w:val="Compact"/>
        <w:numPr>
          <w:numId w:val="1013"/>
          <w:ilvl w:val="0"/>
        </w:numPr>
      </w:pPr>
      <w:r>
        <w:t xml:space="preserve">Query operations SHOULD be open to public unauthenticated clients.</w:t>
      </w:r>
    </w:p>
    <w:p>
      <w:pPr>
        <w:pStyle w:val="Compact"/>
        <w:numPr>
          <w:numId w:val="1013"/>
          <w:ilvl w:val="0"/>
        </w:numPr>
      </w:pPr>
      <w:r>
        <w:t xml:space="preserve">A common public use case is for a client system to determine what message types may be sent to which countries using the node.</w:t>
      </w:r>
    </w:p>
    <w:p>
      <w:pPr>
        <w:pStyle w:val="Compact"/>
        <w:numPr>
          <w:numId w:val="1013"/>
          <w:ilvl w:val="0"/>
        </w:numPr>
      </w:pPr>
      <w:r>
        <w:t xml:space="preserve">An IGL node MAY choose to hide the existence of some channels from pubkuc queries.</w:t>
      </w:r>
    </w:p>
    <w:p>
      <w:pPr>
        <w:pStyle w:val="CaptionedFigure"/>
      </w:pPr>
      <w:r>
        <w:drawing>
          <wp:inline>
            <wp:extent cx="5334000" cy="5211222"/>
            <wp:effectExtent b="0" l="0" r="0" t="0"/>
            <wp:docPr descr="Registry API" title="" id="1" name="Picture"/>
            <a:graphic>
              <a:graphicData uri="http://schemas.openxmlformats.org/drawingml/2006/picture">
                <pic:pic>
                  <pic:nvPicPr>
                    <pic:cNvPr descr="RegistryAPI.png" id="0" name="Picture"/>
                    <pic:cNvPicPr>
                      <a:picLocks noChangeArrowheads="1" noChangeAspect="1"/>
                    </pic:cNvPicPr>
                  </pic:nvPicPr>
                  <pic:blipFill>
                    <a:blip r:embed="rId60"/>
                    <a:stretch>
                      <a:fillRect/>
                    </a:stretch>
                  </pic:blipFill>
                  <pic:spPr bwMode="auto">
                    <a:xfrm>
                      <a:off x="0" y="0"/>
                      <a:ext cx="5334000" cy="5211222"/>
                    </a:xfrm>
                    <a:prstGeom prst="rect">
                      <a:avLst/>
                    </a:prstGeom>
                    <a:noFill/>
                    <a:ln w="9525">
                      <a:noFill/>
                      <a:headEnd/>
                      <a:tailEnd/>
                    </a:ln>
                  </pic:spPr>
                </pic:pic>
              </a:graphicData>
            </a:graphic>
          </wp:inline>
        </w:drawing>
      </w:r>
    </w:p>
    <w:p>
      <w:pPr>
        <w:pStyle w:val="ImageCaption"/>
      </w:pPr>
      <w:r>
        <w:t xml:space="preserve">Registry API</w:t>
      </w:r>
    </w:p>
    <w:p>
      <w:pPr>
        <w:pStyle w:val="SourceCode"/>
      </w:pPr>
      <w:r>
        <w:rPr>
          <w:rStyle w:val="VerbatimChar"/>
        </w:rPr>
        <w:t xml:space="preserve">OpenAPI 3.0 Specifciation to be added here</w:t>
      </w:r>
    </w:p>
    <w:p>
      <w:pPr>
        <w:pStyle w:val="Heading2"/>
      </w:pPr>
      <w:bookmarkStart w:id="61" w:name="semantic-model"/>
      <w:r>
        <w:t xml:space="preserve">Semantic Model</w:t>
      </w:r>
      <w:bookmarkEnd w:id="61"/>
    </w:p>
    <w:p>
      <w:pPr>
        <w:pStyle w:val="FirstParagraph"/>
      </w:pPr>
      <w:r>
        <w:t xml:space="preserve">This section is all about the predicate (ie message type IRI) and it’s relationship to supported document models/schema.</w:t>
      </w:r>
    </w:p>
    <w:p>
      <w:pPr>
        <w:pStyle w:val="BodyText"/>
      </w:pPr>
      <w:r>
        <w:t xml:space="preserve">to-do: more details</w:t>
      </w:r>
    </w:p>
    <w:p>
      <w:pPr>
        <w:pStyle w:val="Heading2"/>
      </w:pPr>
      <w:bookmarkStart w:id="62" w:name="security-architecture"/>
      <w:r>
        <w:t xml:space="preserve">Security Architecture</w:t>
      </w:r>
      <w:bookmarkEnd w:id="62"/>
    </w:p>
    <w:p>
      <w:pPr>
        <w:pStyle w:val="FirstParagraph"/>
      </w:pPr>
      <w:r>
        <w:t xml:space="preserve">There are two very distinct layers of users and corresponding identity assurance models.</w:t>
      </w:r>
    </w:p>
    <w:p>
      <w:pPr>
        <w:pStyle w:val="Heading3"/>
      </w:pPr>
      <w:bookmarkStart w:id="63" w:name="igl-node-identity"/>
      <w:r>
        <w:t xml:space="preserve">IGL Node Identity</w:t>
      </w:r>
      <w:bookmarkEnd w:id="63"/>
    </w:p>
    <w:p>
      <w:pPr>
        <w:pStyle w:val="FirstParagraph"/>
      </w:pPr>
      <w:r>
        <w:t xml:space="preserve">Mutual SSL</w:t>
      </w:r>
    </w:p>
    <w:p>
      <w:pPr>
        <w:pStyle w:val="BodyText"/>
      </w:pPr>
      <w:r>
        <w:t xml:space="preserve">to-do: more details</w:t>
      </w:r>
    </w:p>
    <w:p>
      <w:pPr>
        <w:pStyle w:val="Heading3"/>
      </w:pPr>
      <w:bookmarkStart w:id="64" w:name="client-identity"/>
      <w:r>
        <w:t xml:space="preserve">Client Identity</w:t>
      </w:r>
      <w:bookmarkEnd w:id="64"/>
    </w:p>
    <w:p>
      <w:pPr>
        <w:pStyle w:val="FirstParagraph"/>
      </w:pPr>
      <w:r>
        <w:t xml:space="preserve">In country IDP</w:t>
      </w:r>
    </w:p>
    <w:p>
      <w:pPr>
        <w:pStyle w:val="BodyText"/>
      </w:pPr>
      <w:r>
        <w:t xml:space="preserve">to-do: more details about claims etc</w:t>
      </w:r>
    </w:p>
    <w:p>
      <w:pPr>
        <w:pStyle w:val="Heading2"/>
      </w:pPr>
      <w:bookmarkStart w:id="65" w:name="smart-contracts"/>
      <w:r>
        <w:t xml:space="preserve">Smart Contracts</w:t>
      </w:r>
      <w:bookmarkEnd w:id="65"/>
    </w:p>
    <w:p>
      <w:pPr>
        <w:pStyle w:val="FirstParagraph"/>
      </w:pPr>
      <w:r>
        <w:t xml:space="preserve">A</w:t>
      </w:r>
      <w:r>
        <w:t xml:space="preserve"> </w:t>
      </w:r>
      <w:r>
        <w:t xml:space="preserve">“</w:t>
      </w:r>
      <w:r>
        <w:t xml:space="preserve">Smart Contract</w:t>
      </w:r>
      <w:r>
        <w:t xml:space="preserve">”</w:t>
      </w:r>
      <w:r>
        <w:t xml:space="preserve"> </w:t>
      </w:r>
      <w:r>
        <w:t xml:space="preserve">allows the encoding of IGL channel specific business rules into the ledger that allows transactions to be verified against the rules. Smart contracts can facilitate automated and verifiable regulatory compliance.</w:t>
      </w:r>
    </w:p>
    <w:p>
      <w:pPr>
        <w:pStyle w:val="BodyText"/>
      </w:pPr>
      <w:r>
        <w:t xml:space="preserve">Although an IGL channel does not require a</w:t>
      </w:r>
      <w:r>
        <w:t xml:space="preserve"> </w:t>
      </w:r>
      <w:r>
        <w:t xml:space="preserve">“</w:t>
      </w:r>
      <w:r>
        <w:t xml:space="preserve">smart contract</w:t>
      </w:r>
      <w:r>
        <w:t xml:space="preserve">”</w:t>
      </w:r>
      <w:r>
        <w:t xml:space="preserve"> </w:t>
      </w:r>
      <w:r>
        <w:t xml:space="preserve">there are likely to be cases where there will be value in encoding compliance rules into the ledger transaction.</w:t>
      </w:r>
    </w:p>
    <w:p>
      <w:pPr>
        <w:pStyle w:val="BodyText"/>
      </w:pPr>
      <w:r>
        <w:t xml:space="preserve">Different ledger technologies have different technical representations of these rules. Ethereum smart contracts are written in solidity code. Hyperledger Fabric smart contracts are written as chain code in the Go language.</w:t>
      </w:r>
    </w:p>
    <w:p>
      <w:pPr>
        <w:pStyle w:val="Heading3"/>
      </w:pPr>
      <w:bookmarkStart w:id="66" w:name="abstract-model"/>
      <w:r>
        <w:t xml:space="preserve">Abstract Model</w:t>
      </w:r>
      <w:bookmarkEnd w:id="66"/>
    </w:p>
    <w:p>
      <w:pPr>
        <w:pStyle w:val="FirstParagraph"/>
      </w:pPr>
      <w:r>
        <w:t xml:space="preserve">In order to support re-use and consistency in the implementation of smart contracts, this specification defines an inheritance hierarchy for smart contracts.</w:t>
      </w:r>
    </w:p>
    <w:p>
      <w:pPr>
        <w:pStyle w:val="CaptionedFigure"/>
      </w:pPr>
      <w:r>
        <w:drawing>
          <wp:inline>
            <wp:extent cx="5334000" cy="6179959"/>
            <wp:effectExtent b="0" l="0" r="0" t="0"/>
            <wp:docPr descr="Smart Contracts" title="" id="1" name="Picture"/>
            <a:graphic>
              <a:graphicData uri="http://schemas.openxmlformats.org/drawingml/2006/picture">
                <pic:pic>
                  <pic:nvPicPr>
                    <pic:cNvPr descr="ContractsArchitecture.png" id="0" name="Picture"/>
                    <pic:cNvPicPr>
                      <a:picLocks noChangeArrowheads="1" noChangeAspect="1"/>
                    </pic:cNvPicPr>
                  </pic:nvPicPr>
                  <pic:blipFill>
                    <a:blip r:embed="rId67"/>
                    <a:stretch>
                      <a:fillRect/>
                    </a:stretch>
                  </pic:blipFill>
                  <pic:spPr bwMode="auto">
                    <a:xfrm>
                      <a:off x="0" y="0"/>
                      <a:ext cx="5334000" cy="6179959"/>
                    </a:xfrm>
                    <a:prstGeom prst="rect">
                      <a:avLst/>
                    </a:prstGeom>
                    <a:noFill/>
                    <a:ln w="9525">
                      <a:noFill/>
                      <a:headEnd/>
                      <a:tailEnd/>
                    </a:ln>
                  </pic:spPr>
                </pic:pic>
              </a:graphicData>
            </a:graphic>
          </wp:inline>
        </w:drawing>
      </w:r>
    </w:p>
    <w:p>
      <w:pPr>
        <w:pStyle w:val="ImageCaption"/>
      </w:pPr>
      <w:r>
        <w:t xml:space="preserve">Smart Contracts</w:t>
      </w:r>
    </w:p>
    <w:p>
      <w:pPr>
        <w:pStyle w:val="Heading3"/>
      </w:pPr>
      <w:bookmarkStart w:id="68" w:name="legal-stakeholders"/>
      <w:r>
        <w:t xml:space="preserve">Legal Stakeholders</w:t>
      </w:r>
      <w:bookmarkEnd w:id="68"/>
    </w:p>
    <w:p>
      <w:pPr>
        <w:pStyle w:val="FirstParagraph"/>
      </w:pPr>
      <w:r>
        <w:t xml:space="preserve">The legal stakeholders in IGL smart contract code are identified using:</w:t>
      </w:r>
    </w:p>
    <w:p>
      <w:pPr>
        <w:pStyle w:val="Compact"/>
        <w:numPr>
          <w:numId w:val="1014"/>
          <w:ilvl w:val="0"/>
        </w:numPr>
      </w:pPr>
      <w:r>
        <w:t xml:space="preserve">A type code - drawn from the UN/CEFACT semantic library and represented as a JSON-LD IRI</w:t>
      </w:r>
    </w:p>
    <w:p>
      <w:pPr>
        <w:pStyle w:val="Compact"/>
        <w:numPr>
          <w:numId w:val="1014"/>
          <w:ilvl w:val="0"/>
        </w:numPr>
      </w:pPr>
      <w:r>
        <w:t xml:space="preserve">An entity identifier - which MUST be a verifiable identity from an accredited IDP in the country in which the entity is registered.</w:t>
      </w:r>
    </w:p>
    <w:p>
      <w:pPr>
        <w:pStyle w:val="Heading3"/>
      </w:pPr>
      <w:bookmarkStart w:id="69" w:name="legal-terms"/>
      <w:r>
        <w:t xml:space="preserve">Legal Terms</w:t>
      </w:r>
      <w:bookmarkEnd w:id="69"/>
    </w:p>
    <w:p>
      <w:pPr>
        <w:pStyle w:val="FirstParagraph"/>
      </w:pPr>
      <w:r>
        <w:t xml:space="preserve">Legal terms in IGL smart contracts should also be drawn from a standard dictionary such as the UN/CEFACT semantic library and MUST be represented as a JSON-LD IRI</w:t>
      </w:r>
    </w:p>
    <w:p>
      <w:pPr>
        <w:pStyle w:val="Heading2"/>
      </w:pPr>
      <w:bookmarkStart w:id="70" w:name="performance-scalability"/>
      <w:r>
        <w:t xml:space="preserve">Performance &amp; Scalability</w:t>
      </w:r>
      <w:bookmarkEnd w:id="70"/>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5"/>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5"/>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71"/>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72" w:name="merkel-dag-trees"/>
      <w:r>
        <w:t xml:space="preserve">Merkel DAG Trees</w:t>
      </w:r>
      <w:bookmarkEnd w:id="72"/>
    </w:p>
    <w:p>
      <w:pPr>
        <w:pStyle w:val="Heading3"/>
      </w:pPr>
      <w:bookmarkStart w:id="73" w:name="side-chains"/>
      <w:r>
        <w:t xml:space="preserve">Side Chains</w:t>
      </w:r>
      <w:bookmarkEnd w:id="73"/>
    </w:p>
    <w:p>
      <w:pPr>
        <w:pStyle w:val="Heading1"/>
      </w:pPr>
      <w:bookmarkStart w:id="74" w:name="X41988e1f044c7a1d014a53b1aba3f047d9e11c8"/>
      <w:r>
        <w:t xml:space="preserve">IGL Distributed Ledger Technology Implementations</w:t>
      </w:r>
      <w:bookmarkEnd w:id="74"/>
    </w:p>
    <w:p>
      <w:pPr>
        <w:pStyle w:val="Heading2"/>
      </w:pPr>
      <w:bookmarkStart w:id="75" w:name="ethereum"/>
      <w:r>
        <w:t xml:space="preserve">Ethereum</w:t>
      </w:r>
      <w:bookmarkEnd w:id="75"/>
    </w:p>
    <w:p>
      <w:pPr>
        <w:pStyle w:val="Heading2"/>
      </w:pPr>
      <w:bookmarkStart w:id="76" w:name="hyperledger-sawtooth"/>
      <w:r>
        <w:t xml:space="preserve">Hyperledger Sawtooth</w:t>
      </w:r>
      <w:bookmarkEnd w:id="7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52" Target="media/rId5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57" Target="media/rId57.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3" Target="https://www.w3.org/TR/vc-data-model/"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3" Target="https://www.w3.org/TR/vc-data-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Customs Ledger 0.1.0 Specification</dc:title>
  <dc:creator/>
  <cp:keywords/>
  <dcterms:created xsi:type="dcterms:W3CDTF">2020-05-06T03:00:23Z</dcterms:created>
  <dcterms:modified xsi:type="dcterms:W3CDTF">2020-05-06T03:00:23Z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