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5.png" ContentType="image/png"/>
  <Override PartName="/word/media/rId63.png" ContentType="image/png"/>
  <Override PartName="/word/media/rId67.png" ContentType="image/png"/>
  <Override PartName="/word/media/rId35.png" ContentType="image/png"/>
  <Override PartName="/word/media/rId48.png" ContentType="image/png"/>
  <Override PartName="/word/media/rId53.png" ContentType="image/png"/>
  <Override PartName="/word/media/rId69.png" ContentType="image/png"/>
  <Override PartName="/word/media/rId57.png" ContentType="image/png"/>
  <Override PartName="/word/media/rId5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Customs</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Customs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Customs Ledger (IGL) is proposed as an approach to the transfer of shipment related documents between customs agencies which is immediate, permanent and irrefutable. The intercustoms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intercustoms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An IGL message is a semantic triple</w:t>
      </w:r>
    </w:p>
    <w:p>
      <w:pPr>
        <w:pStyle w:val="Compact"/>
        <w:numPr>
          <w:numId w:val="1010"/>
          <w:ilvl w:val="0"/>
        </w:numPr>
      </w:pPr>
      <w:r>
        <w:t xml:space="preserve">subject - typically the identifier of a thing (eg certificate of origin #123)</w:t>
      </w:r>
    </w:p>
    <w:p>
      <w:pPr>
        <w:pStyle w:val="Compact"/>
        <w:numPr>
          <w:numId w:val="1010"/>
          <w:ilvl w:val="0"/>
        </w:numPr>
      </w:pPr>
      <w:r>
        <w:t xml:space="preserve">predicate - a named relationship drawn froma controlled vocabulary (eg unece.org:coo:created)</w:t>
      </w:r>
    </w:p>
    <w:p>
      <w:pPr>
        <w:pStyle w:val="Compact"/>
        <w:numPr>
          <w:numId w:val="1010"/>
          <w:ilvl w:val="0"/>
        </w:numPr>
      </w:pPr>
      <w:r>
        <w:t xml:space="preserve">object - the thing itself (eg the derticate of origin document identified by the hash of the document)</w:t>
      </w:r>
    </w:p>
    <w:p>
      <w:pPr>
        <w:pStyle w:val="FirstParagraph"/>
      </w:pPr>
      <w:r>
        <w:t xml:space="preserve">A number of related messages may be sent via the IGL, possibly by different parties in a jurisduiction. The combination of the the messages allows the receiver node to construct a semantic graph or related entities.</w:t>
      </w:r>
    </w:p>
    <w:p>
      <w:pPr>
        <w:pStyle w:val="CaptionedFigure"/>
      </w:pPr>
      <w:r>
        <w:drawing>
          <wp:inline>
            <wp:extent cx="5334000" cy="4000500"/>
            <wp:effectExtent b="0" l="0" r="0" t="0"/>
            <wp:docPr descr="Semantic Graph" title="" id="1" name="Picture"/>
            <a:graphic>
              <a:graphicData uri="http://schemas.openxmlformats.org/drawingml/2006/picture">
                <pic:pic>
                  <pic:nvPicPr>
                    <pic:cNvPr descr="SemanticGraph.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Semantic Graph</w:t>
      </w:r>
    </w:p>
    <w:p>
      <w:pPr>
        <w:pStyle w:val="BodyText"/>
      </w:pPr>
      <w:r>
        <w:t xml:space="preserve">to do: add table with specific examples of subject-object-predictates for the graph in the diagram.</w:t>
      </w:r>
    </w:p>
    <w:p>
      <w:pPr>
        <w:pStyle w:val="BodyText"/>
      </w:pPr>
      <w:r>
        <w:t xml:space="preserve">to-do: more details</w:t>
      </w:r>
    </w:p>
    <w:p>
      <w:pPr>
        <w:pStyle w:val="Heading2"/>
      </w:pPr>
      <w:bookmarkStart w:id="56" w:name="security-architecture"/>
      <w:r>
        <w:t xml:space="preserve">Security Architecture</w:t>
      </w:r>
      <w:bookmarkEnd w:id="56"/>
    </w:p>
    <w:p>
      <w:pPr>
        <w:pStyle w:val="FirstParagraph"/>
      </w:pPr>
      <w:r>
        <w:t xml:space="preserve">There are different layers to the security mnodel for IGL as shownb in the diagram below</w:t>
      </w:r>
    </w:p>
    <w:p>
      <w:pPr>
        <w:pStyle w:val="CaptionedFigure"/>
      </w:pPr>
      <w:r>
        <w:drawing>
          <wp:inline>
            <wp:extent cx="5334000" cy="4000500"/>
            <wp:effectExtent b="0" l="0" r="0" t="0"/>
            <wp:docPr descr="Security Model" title="" id="1" name="Picture"/>
            <a:graphic>
              <a:graphicData uri="http://schemas.openxmlformats.org/drawingml/2006/picture">
                <pic:pic>
                  <pic:nvPicPr>
                    <pic:cNvPr descr="SecurityModel.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Security Model</w:t>
      </w:r>
    </w:p>
    <w:p>
      <w:pPr>
        <w:pStyle w:val="Compact"/>
        <w:numPr>
          <w:numId w:val="1011"/>
          <w:ilvl w:val="0"/>
        </w:numPr>
      </w:pPr>
      <w:r>
        <w:t xml:space="preserve">Authorised Agencies maintain channel keys that represent their identity on a speciucl ledger channel (eg ethereum). The ksy are provided to the node operator to whom the agency delegates authority to operate a channel.</w:t>
      </w:r>
    </w:p>
    <w:p>
      <w:pPr>
        <w:pStyle w:val="Compact"/>
        <w:numPr>
          <w:numId w:val="1011"/>
          <w:ilvl w:val="0"/>
        </w:numPr>
      </w:pPr>
      <w:r>
        <w:t xml:space="preserve">G2G security between coiuntries (eg for document API access) is managed using mutual SSL to verify DNS domains of the participating authorised agencies (eg agencyA.gov.xx)</w:t>
      </w:r>
    </w:p>
    <w:p>
      <w:pPr>
        <w:pStyle w:val="Compact"/>
        <w:numPr>
          <w:numId w:val="1011"/>
          <w:ilvl w:val="0"/>
        </w:numPr>
      </w:pPr>
      <w:r>
        <w:t xml:space="preserve">B2G security within a jurisdiction is managed using OAuth2 federated identity claims.</w:t>
      </w:r>
    </w:p>
    <w:p>
      <w:pPr>
        <w:pStyle w:val="Heading2"/>
      </w:pPr>
      <w:bookmarkStart w:id="58" w:name="igl-node-channel-security"/>
      <w:r>
        <w:t xml:space="preserve">IGL Node-Channel security</w:t>
      </w:r>
      <w:bookmarkEnd w:id="58"/>
    </w:p>
    <w:p>
      <w:pPr>
        <w:pStyle w:val="FirstParagraph"/>
      </w:pPr>
      <w:r>
        <w:t xml:space="preserve">to-do: more details</w:t>
      </w:r>
    </w:p>
    <w:p>
      <w:pPr>
        <w:pStyle w:val="Heading2"/>
      </w:pPr>
      <w:bookmarkStart w:id="59" w:name="igl-node-node-g2g-security"/>
      <w:r>
        <w:t xml:space="preserve">IGL Node-Node (G2G) security</w:t>
      </w:r>
      <w:bookmarkEnd w:id="59"/>
    </w:p>
    <w:p>
      <w:pPr>
        <w:pStyle w:val="FirstParagraph"/>
      </w:pPr>
      <w:r>
        <w:t xml:space="preserve">to-do: more details</w:t>
      </w:r>
    </w:p>
    <w:p>
      <w:pPr>
        <w:pStyle w:val="Heading3"/>
      </w:pPr>
      <w:bookmarkStart w:id="60" w:name="igl-client-node-b2g-security"/>
      <w:r>
        <w:t xml:space="preserve">IGL client-Node (B2G) security</w:t>
      </w:r>
      <w:bookmarkEnd w:id="60"/>
    </w:p>
    <w:p>
      <w:pPr>
        <w:pStyle w:val="FirstParagraph"/>
      </w:pPr>
      <w:r>
        <w:t xml:space="preserve">to-do: more details about claims etc</w:t>
      </w:r>
    </w:p>
    <w:p>
      <w:pPr>
        <w:pStyle w:val="Heading3"/>
      </w:pPr>
      <w:bookmarkStart w:id="61" w:name="igl-verifiable-claims"/>
      <w:r>
        <w:t xml:space="preserve">IGL verifiable claims</w:t>
      </w:r>
      <w:bookmarkEnd w:id="61"/>
    </w:p>
    <w:p>
      <w:pPr>
        <w:pStyle w:val="FirstParagraph"/>
      </w:pPr>
      <w:r>
        <w:t xml:space="preserve">to-do: more about verifiable claims</w:t>
      </w:r>
    </w:p>
    <w:p>
      <w:pPr>
        <w:pStyle w:val="Heading2"/>
      </w:pPr>
      <w:bookmarkStart w:id="62" w:name="component-model"/>
      <w:r>
        <w:t xml:space="preserve">Component Model</w:t>
      </w:r>
      <w:bookmarkEnd w:id="62"/>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63"/>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2"/>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2"/>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2"/>
          <w:ilvl w:val="0"/>
        </w:numPr>
      </w:pPr>
      <w:r>
        <w:t xml:space="preserve">An event manager exposes the subscriptions API and allows client systems to subscribe to notifications about messages that they post.</w:t>
      </w:r>
    </w:p>
    <w:p>
      <w:pPr>
        <w:pStyle w:val="Heading3"/>
      </w:pPr>
      <w:bookmarkStart w:id="64" w:name="client-sequence"/>
      <w:r>
        <w:t xml:space="preserve">Client sequence</w:t>
      </w:r>
      <w:bookmarkEnd w:id="64"/>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5"/>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3"/>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3"/>
          <w:ilvl w:val="0"/>
        </w:numPr>
      </w:pPr>
      <w:r>
        <w:t xml:space="preserve">The client system POSTs an IGL message to the message API together with an access token from the IDP.</w:t>
      </w:r>
    </w:p>
    <w:p>
      <w:pPr>
        <w:pStyle w:val="Compact"/>
        <w:numPr>
          <w:numId w:val="1013"/>
          <w:ilvl w:val="0"/>
        </w:numPr>
      </w:pPr>
      <w:r>
        <w:t xml:space="preserve">The IGL node uses message metadata to determine the relevant IGL channel (or returns an error if there is no matching channel)</w:t>
      </w:r>
    </w:p>
    <w:p>
      <w:pPr>
        <w:pStyle w:val="Compact"/>
        <w:numPr>
          <w:numId w:val="1013"/>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3"/>
          <w:ilvl w:val="0"/>
        </w:numPr>
      </w:pPr>
      <w:r>
        <w:t xml:space="preserve">The counter party on the network detects the new message, gets the document, and notifies any subscribed parties (eg a government agency in country B) of the new message.</w:t>
      </w:r>
    </w:p>
    <w:p>
      <w:pPr>
        <w:pStyle w:val="Compact"/>
        <w:numPr>
          <w:numId w:val="1013"/>
          <w:ilvl w:val="0"/>
        </w:numPr>
      </w:pPr>
      <w:r>
        <w:t xml:space="preserve">The message is processed by the receiving agency business systems.</w:t>
      </w:r>
    </w:p>
    <w:p>
      <w:pPr>
        <w:pStyle w:val="Compact"/>
        <w:numPr>
          <w:numId w:val="1013"/>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6" w:name="node-sequence"/>
      <w:r>
        <w:t xml:space="preserve">Node Sequence</w:t>
      </w:r>
      <w:bookmarkEnd w:id="66"/>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7"/>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4"/>
          <w:ilvl w:val="0"/>
        </w:numPr>
      </w:pPr>
      <w:r>
        <w:t xml:space="preserve">A new message is received from a client by the message API</w:t>
      </w:r>
    </w:p>
    <w:p>
      <w:pPr>
        <w:pStyle w:val="Compact"/>
        <w:numPr>
          <w:numId w:val="1014"/>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4"/>
          <w:ilvl w:val="0"/>
        </w:numPr>
      </w:pPr>
      <w:r>
        <w:t xml:space="preserve">The document API will return a unique fingerprint (multi-hash) of the stored document and will update it’s access control to allow read access by the recipient country authority.</w:t>
      </w:r>
    </w:p>
    <w:p>
      <w:pPr>
        <w:pStyle w:val="Compact"/>
        <w:numPr>
          <w:numId w:val="1014"/>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4"/>
          <w:ilvl w:val="0"/>
        </w:numPr>
      </w:pPr>
      <w:r>
        <w:t xml:space="preserve">The channel node requests a new ledger transaction comprising a semantic triple</w:t>
      </w:r>
    </w:p>
    <w:p>
      <w:pPr>
        <w:pStyle w:val="Compact"/>
        <w:numPr>
          <w:numId w:val="1015"/>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5"/>
          <w:ilvl w:val="1"/>
        </w:numPr>
      </w:pPr>
      <w:r>
        <w:t xml:space="preserve">Object is the unique fingerprint (multihash) of the document that is attached to the message and stored in the document repository.</w:t>
      </w:r>
    </w:p>
    <w:p>
      <w:pPr>
        <w:pStyle w:val="Compact"/>
        <w:numPr>
          <w:numId w:val="1015"/>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4"/>
          <w:ilvl w:val="0"/>
        </w:numPr>
      </w:pPr>
      <w:r>
        <w:t xml:space="preserve">The channel completes consensus and writes a new block - this process is specific to the particular DLT technology (eg ethereum or hyperledger).</w:t>
      </w:r>
    </w:p>
    <w:p>
      <w:pPr>
        <w:pStyle w:val="Compact"/>
        <w:numPr>
          <w:numId w:val="1014"/>
          <w:ilvl w:val="0"/>
        </w:numPr>
      </w:pPr>
      <w:r>
        <w:t xml:space="preserve">once the new block is successfully written the channel node notifies the IGL worker which will send a callback event to all subscribed clients via the event manager.</w:t>
      </w:r>
    </w:p>
    <w:p>
      <w:pPr>
        <w:pStyle w:val="Compact"/>
        <w:numPr>
          <w:numId w:val="1014"/>
          <w:ilvl w:val="0"/>
        </w:numPr>
      </w:pPr>
      <w:r>
        <w:t xml:space="preserve">The new transaction is observed by the counter party IGL node which reads the transaction (ie the semantic triple)</w:t>
      </w:r>
    </w:p>
    <w:p>
      <w:pPr>
        <w:pStyle w:val="Compact"/>
        <w:numPr>
          <w:numId w:val="1014"/>
          <w:ilvl w:val="0"/>
        </w:numPr>
      </w:pPr>
      <w:r>
        <w:t xml:space="preserve">The recipient country node GETs the document identified by the Object multihash from the sender country repository. Authentication is via mutual SSL.</w:t>
      </w:r>
    </w:p>
    <w:p>
      <w:pPr>
        <w:pStyle w:val="Compact"/>
        <w:numPr>
          <w:numId w:val="1014"/>
          <w:ilvl w:val="0"/>
        </w:numPr>
      </w:pPr>
      <w:r>
        <w:t xml:space="preserve">The recipient country IGL node notifies any subscribed clients of the new transaction via the event manager of the recipient IGL node.</w:t>
      </w:r>
    </w:p>
    <w:p>
      <w:pPr>
        <w:pStyle w:val="Heading2"/>
      </w:pPr>
      <w:bookmarkStart w:id="68" w:name="performance-scalability"/>
      <w:r>
        <w:t xml:space="preserve">Performance &amp; Scalability</w:t>
      </w:r>
      <w:bookmarkEnd w:id="68"/>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6"/>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6"/>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9"/>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0" w:name="merkel-dag-trees"/>
      <w:r>
        <w:t xml:space="preserve">Merkel DAG Trees</w:t>
      </w:r>
      <w:bookmarkEnd w:id="70"/>
    </w:p>
    <w:p>
      <w:pPr>
        <w:pStyle w:val="Heading3"/>
      </w:pPr>
      <w:bookmarkStart w:id="71" w:name="side-chains"/>
      <w:r>
        <w:t xml:space="preserve">Side Chains</w:t>
      </w:r>
      <w:bookmarkEnd w:id="71"/>
    </w:p>
    <w:p>
      <w:pPr>
        <w:pStyle w:val="Heading1"/>
      </w:pPr>
      <w:bookmarkStart w:id="72" w:name="X41988e1f044c7a1d014a53b1aba3f047d9e11c8"/>
      <w:r>
        <w:t xml:space="preserve">IGL Distributed Ledger Technology Implementations</w:t>
      </w:r>
      <w:bookmarkEnd w:id="72"/>
    </w:p>
    <w:p>
      <w:pPr>
        <w:pStyle w:val="Heading2"/>
      </w:pPr>
      <w:bookmarkStart w:id="73" w:name="ethereum"/>
      <w:r>
        <w:t xml:space="preserve">Ethereum</w:t>
      </w:r>
      <w:bookmarkEnd w:id="73"/>
    </w:p>
    <w:p>
      <w:pPr>
        <w:pStyle w:val="Heading2"/>
      </w:pPr>
      <w:bookmarkStart w:id="74" w:name="hyperledger"/>
      <w:r>
        <w:t xml:space="preserve">Hyperledger</w:t>
      </w:r>
      <w:bookmarkEnd w:id="7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Customs Ledger 0.1.0 Specification</dc:title>
  <dc:creator/>
  <cp:keywords/>
  <dcterms:created xsi:type="dcterms:W3CDTF">2020-05-19T06:35:11Z</dcterms:created>
  <dcterms:modified xsi:type="dcterms:W3CDTF">2020-05-19T06:35:11Z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