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1"/>
      </w:pPr>
      <w:bookmarkStart w:id="20" w:name="introduction"/>
      <w:r>
        <w:t xml:space="preserve">Introduction</w:t>
      </w:r>
      <w:bookmarkEnd w:id="20"/>
    </w:p>
    <w:p>
      <w:pPr>
        <w:pStyle w:val="FirstParagraph"/>
      </w:pPr>
      <w:r>
        <w:t xml:space="preserve">The JSON-LD project aims to let not just humans, but also machines understand the semantics of CEFACT.</w:t>
      </w:r>
    </w:p>
    <w:p>
      <w:pPr>
        <w:pStyle w:val="Heading2"/>
      </w:pPr>
      <w:bookmarkStart w:id="21" w:name="linked-data"/>
      <w:r>
        <w:t xml:space="preserve">Linked Data</w:t>
      </w:r>
      <w:bookmarkEnd w:id="21"/>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2" w:name="json-ld"/>
      <w:r>
        <w:t xml:space="preserve">JSON-LD</w:t>
      </w:r>
      <w:bookmarkEnd w:id="22"/>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23" w:name="non-breaking-retro-fitting"/>
      <w:r>
        <w:t xml:space="preserve">Non-Breaking Retro Fitting</w:t>
      </w:r>
      <w:bookmarkEnd w:id="23"/>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24" w:name="edi3-json-ld-project-output"/>
      <w:r>
        <w:t xml:space="preserve">EDI3 JSON-LD Project Output</w:t>
      </w:r>
      <w:bookmarkEnd w:id="24"/>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2"/>
      </w:pPr>
      <w:bookmarkStart w:id="25" w:name="status"/>
      <w:r>
        <w:t xml:space="preserve">Status</w:t>
      </w:r>
      <w:bookmarkEnd w:id="25"/>
    </w:p>
    <w:p>
      <w:pPr>
        <w:pStyle w:val="Heading2"/>
      </w:pPr>
      <w:bookmarkStart w:id="26" w:name="glossary"/>
      <w:r>
        <w:t xml:space="preserve">Glossary</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7" w:name="licence"/>
      <w:r>
        <w:t xml:space="preserve">Licence</w:t>
      </w:r>
      <w:bookmarkEnd w:id="27"/>
    </w:p>
    <w:p>
      <w:pPr>
        <w:pStyle w:val="FirstParagraph"/>
      </w:pPr>
      <w:r>
        <w:t xml:space="preserve">All material published on edi3.org including all parts of this specification are the intellectual property of the UN as per the</w:t>
      </w:r>
      <w:r>
        <w:t xml:space="preserve"> </w:t>
      </w:r>
      <w:hyperlink r:id="rId28">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9" w:name="change-process"/>
      <w:r>
        <w:t xml:space="preserve">Change Process</w:t>
      </w:r>
      <w:bookmarkEnd w:id="29"/>
    </w:p>
    <w:p>
      <w:pPr>
        <w:pStyle w:val="FirstParagraph"/>
      </w:pPr>
      <w:r>
        <w:t xml:space="preserve">This document is governed by the</w:t>
      </w:r>
      <w:r>
        <w:t xml:space="preserve"> </w:t>
      </w:r>
      <w:hyperlink r:id="rId30">
        <w:r>
          <w:rPr>
            <w:rStyle w:val="Hyperlink"/>
          </w:rPr>
          <w:t xml:space="preserve">2/COSS</w:t>
        </w:r>
      </w:hyperlink>
      <w:r>
        <w:t xml:space="preserve"> </w:t>
      </w:r>
      <w:r>
        <w:t xml:space="preserve">(COSS).</w:t>
      </w:r>
    </w:p>
    <w:p>
      <w:pPr>
        <w:pStyle w:val="Heading2"/>
      </w:pPr>
      <w:bookmarkStart w:id="31" w:name="language"/>
      <w:r>
        <w:t xml:space="preserve">Language</w:t>
      </w:r>
      <w:bookmarkEnd w:id="3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32" w:name="billing-process"/>
      <w:r>
        <w:t xml:space="preserve">Billing Process</w:t>
      </w:r>
      <w:bookmarkEnd w:id="32"/>
    </w:p>
    <w:p>
      <w:pPr>
        <w:pStyle w:val="Heading2"/>
      </w:pPr>
      <w:bookmarkStart w:id="33" w:name="state-lifecycle"/>
      <w:r>
        <w:t xml:space="preserve">State Lifecycle</w:t>
      </w:r>
      <w:bookmarkEnd w:id="33"/>
    </w:p>
    <w:p>
      <w:pPr>
        <w:pStyle w:val="Heading1"/>
      </w:pPr>
      <w:bookmarkStart w:id="34" w:name="related-material"/>
      <w:r>
        <w:t xml:space="preserve">Related Material</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2020-04-15T10:28:49Z</dcterms:created>
  <dcterms:modified xsi:type="dcterms:W3CDTF">2020-04-15T10:28:49Z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