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domain model is essentially the</w:t>
      </w:r>
      <w:r>
        <w:t xml:space="preserve"> </w:t>
      </w:r>
      <w:r>
        <w:t xml:space="preserve">“</w:t>
      </w:r>
      <w:r>
        <w:t xml:space="preserve">towm plan</w:t>
      </w:r>
      <w:r>
        <w:t xml:space="preserve">”</w:t>
      </w:r>
      <w:r>
        <w:t xml:space="preserve"> </w:t>
      </w:r>
      <w:r>
        <w:t xml:space="preserve">for all UN/CEFACT API resources.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</w:t>
      </w:r>
    </w:p>
    <w:p>
      <w:pPr>
        <w:pStyle w:val="CaptionedFigure"/>
      </w:pPr>
      <w:r>
        <w:drawing>
          <wp:inline>
            <wp:extent cx="5334000" cy="8489610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domain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2020-04-15T10:46:09Z</dcterms:created>
  <dcterms:modified xsi:type="dcterms:W3CDTF">2020-04-15T10:46:09Z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