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town plan model provides the top level organising framework for all UN/CEFACT API resources. There will typically be just one town plan file version current at any givent time.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 There will be typically be one file per domain or subdomain.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 There will typically be one file per code list.</w:t>
      </w:r>
    </w:p>
    <w:p>
      <w:pPr>
        <w:pStyle w:val="CaptionedFigure"/>
      </w:pPr>
      <w:r>
        <w:drawing>
          <wp:inline>
            <wp:extent cx="5334000" cy="8489610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654627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BodyText"/>
      </w:pPr>
      <w:r>
        <w:t xml:space="preserve">to-do : define each entity.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4814161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BodyText"/>
      </w:pPr>
      <w:r>
        <w:t xml:space="preserve">to-do : define each entity.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domain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BodyText"/>
      </w:pPr>
      <w:r>
        <w:t xml:space="preserve">to-do : define each entity.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2020-04-30T08:51:59Z</dcterms:created>
  <dcterms:modified xsi:type="dcterms:W3CDTF">2020-04-30T08:51:59Z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