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FirstParagraph"/>
      </w:pPr>
      <w:r>
        <w:t xml:space="preserve">Certificate types and status:</w:t>
      </w:r>
    </w:p>
    <w:p>
      <w:pPr>
        <w:pStyle w:val="Compact"/>
        <w:numPr>
          <w:numId w:val="1002"/>
          <w:ilvl w:val="0"/>
        </w:numPr>
      </w:pPr>
      <w:r>
        <w:t xml:space="preserve">A</w:t>
      </w:r>
      <w:r>
        <w:t xml:space="preserve"> </w:t>
      </w: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Certificate Of Origin has been defined.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Yellow elements are specific to the CoO. These are very simple - essentially a CoO decorates a standard consignment with a set of origin criteria and adds a document header.</w:t>
      </w:r>
    </w:p>
    <w:p>
      <w:pPr>
        <w:pStyle w:val="Compact"/>
        <w:numPr>
          <w:numId w:val="1003"/>
          <w:ilvl w:val="0"/>
        </w:numPr>
      </w:pPr>
      <w:r>
        <w:t xml:space="preserve">Green elements are standard UN/CEFACT RDM elements.</w:t>
      </w:r>
    </w:p>
    <w:p>
      <w:pPr>
        <w:pStyle w:val="Compact"/>
        <w:numPr>
          <w:numId w:val="1003"/>
          <w:ilvl w:val="0"/>
        </w:numPr>
      </w:pPr>
      <w:r>
        <w:t xml:space="preserve">Blue elements are standard enumerations.</w:t>
      </w:r>
    </w:p>
    <w:p>
      <w:pPr>
        <w:pStyle w:val="CaptionedFigure"/>
      </w:pPr>
      <w:r>
        <w:drawing>
          <wp:inline>
            <wp:extent cx="5334000" cy="4726221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2020-04-18T06:33:52Z</dcterms:created>
  <dcterms:modified xsi:type="dcterms:W3CDTF">2020-04-18T06:33:52Z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raw</vt:lpwstr>
  </property>
</Properties>
</file>