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FirstParagraph"/>
      </w:pPr>
      <w:r>
        <w:t xml:space="preserve">Certificate types and status:</w:t>
      </w:r>
    </w:p>
    <w:p>
      <w:pPr>
        <w:pStyle w:val="Compact"/>
        <w:numPr>
          <w:numId w:val="1002"/>
          <w:ilvl w:val="0"/>
        </w:numPr>
      </w:pPr>
      <w:r>
        <w:t xml:space="preserve">A</w:t>
      </w:r>
      <w:r>
        <w:t xml:space="preserve"> </w:t>
      </w:r>
      <w:r>
        <w:drawing>
          <wp:inline>
            <wp:extent cx="704850" cy="190500"/>
            <wp:effectExtent b="0" l="0" r="0" t="0"/>
            <wp:docPr descr="raw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Certificate Of Origin has been defined.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ompact"/>
        <w:numPr>
          <w:numId w:val="1003"/>
          <w:ilvl w:val="0"/>
        </w:numPr>
      </w:pPr>
      <w:r>
        <w:t xml:space="preserve">Yellow elements are specific to the CoO. These are very simple - essentially a CoO decorates a standard consignment with a set of origin criteria and adds a document header.</w:t>
      </w:r>
    </w:p>
    <w:p>
      <w:pPr>
        <w:pStyle w:val="Compact"/>
        <w:numPr>
          <w:numId w:val="1003"/>
          <w:ilvl w:val="0"/>
        </w:numPr>
      </w:pPr>
      <w:r>
        <w:t xml:space="preserve">Green elements are standard UN/CEFACT RDM elements.</w:t>
      </w:r>
    </w:p>
    <w:p>
      <w:pPr>
        <w:pStyle w:val="Compact"/>
        <w:numPr>
          <w:numId w:val="1003"/>
          <w:ilvl w:val="0"/>
        </w:numPr>
      </w:pPr>
      <w:r>
        <w:t xml:space="preserve">Blue elements are standard enumerations.</w:t>
      </w:r>
    </w:p>
    <w:p>
      <w:pPr>
        <w:pStyle w:val="CaptionedFigure"/>
      </w:pPr>
      <w:r>
        <w:drawing>
          <wp:inline>
            <wp:extent cx="5334000" cy="4726221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6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To be completed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master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2020-05-05T04:42:50Z</dcterms:created>
  <dcterms:modified xsi:type="dcterms:W3CDTF">2020-05-05T04:42:50Z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raw</vt:lpwstr>
  </property>
</Properties>
</file>