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Transport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2"/>
      </w:pPr>
      <w:bookmarkStart w:id="29" w:name="state-lifecycle"/>
      <w:r>
        <w:t xml:space="preserve">State Lifecycle</w:t>
      </w:r>
      <w:bookmarkEnd w:id="29"/>
    </w:p>
    <w:p>
      <w:pPr>
        <w:pStyle w:val="Heading1"/>
      </w:pPr>
      <w:bookmarkStart w:id="30" w:name="related-material"/>
      <w:r>
        <w:t xml:space="preserve">Related Material</w:t>
      </w:r>
      <w:bookmarkEnd w:id="3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Transport Domain 1.0 Specification</dc:title>
  <dc:creator/>
  <cp:keywords/>
  <dcterms:created xsi:type="dcterms:W3CDTF">2020-09-04T01:22:59Z</dcterms:created>
  <dcterms:modified xsi:type="dcterms:W3CDTF">2020-09-04T01:22:59Z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transport/1</vt:lpwstr>
  </property>
  <property fmtid="{D5CDD505-2E9C-101B-9397-08002B2CF9AE}" pid="5" name="status">
    <vt:lpwstr>raw</vt:lpwstr>
  </property>
</Properties>
</file>