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Transport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2"/>
      </w:pPr>
      <w:bookmarkStart w:id="29" w:name="state-lifecycle"/>
      <w:r>
        <w:t xml:space="preserve">State Lifecycle</w:t>
      </w:r>
      <w:bookmarkEnd w:id="29"/>
    </w:p>
    <w:p>
      <w:pPr>
        <w:pStyle w:val="Heading1"/>
      </w:pPr>
      <w:bookmarkStart w:id="30" w:name="related-material"/>
      <w:r>
        <w:t xml:space="preserve">Related Material</w:t>
      </w:r>
      <w:bookmarkEnd w:id="3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Transport Domain 1.0 Specification</dc:title>
  <dc:creator/>
  <cp:keywords/>
  <dcterms:created xsi:type="dcterms:W3CDTF">2020-05-07T21:25:14Z</dcterms:created>
  <dcterms:modified xsi:type="dcterms:W3CDTF">2020-05-07T21:25:14Z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transport/1</vt:lpwstr>
  </property>
  <property fmtid="{D5CDD505-2E9C-101B-9397-08002B2CF9AE}" pid="5" name="status">
    <vt:lpwstr>raw</vt:lpwstr>
  </property>
</Properties>
</file>