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the current cluster definition</w:t>
      </w:r>
      <w:r w:rsidR="00CF3194">
        <w:br/>
        <w:t xml:space="preserve">        definition</w:t>
      </w:r>
      <w:r w:rsidR="00AC780E">
        <w:t>-</w:t>
      </w:r>
      <w:r w:rsidR="00CF3194">
        <w:t xml:space="preserve">hash   </w:t>
      </w:r>
      <w:r w:rsidR="00FC5355">
        <w:tab/>
      </w:r>
      <w:r w:rsidR="00CF3194">
        <w:t>- MD5 hash of the definition (base64)</w:t>
      </w:r>
      <w:r w:rsidR="008C7F51">
        <w:br/>
        <w:t xml:space="preserve">        disable-auto-unseal</w:t>
      </w:r>
      <w:r w:rsidR="008C7F51">
        <w:tab/>
        <w:t>- disabl</w:t>
      </w:r>
      <w:r w:rsidR="00F85C5E">
        <w:t>es</w:t>
      </w:r>
      <w:r w:rsidR="008C7F51">
        <w:t xml:space="preserve"> Vault auto unsealing (</w:t>
      </w:r>
      <w:r w:rsidR="00F85C5E">
        <w:t>bool</w:t>
      </w:r>
      <w:r w:rsidR="008C7F51">
        <w:t>)</w:t>
      </w:r>
      <w:r w:rsidR="00DD20D6">
        <w:br/>
        <w:t xml:space="preserve">        log-retention-days</w:t>
      </w:r>
      <w:r w:rsidR="00DD20D6">
        <w:tab/>
        <w:t>- number of days to retain logs</w:t>
      </w:r>
      <w:bookmarkStart w:id="0" w:name="_GoBack"/>
      <w:bookmarkEnd w:id="0"/>
      <w:r w:rsidR="00C3780E">
        <w:br/>
      </w:r>
      <w:r w:rsidR="00C3780E">
        <w:lastRenderedPageBreak/>
        <w:t xml:space="preserve">        neon-cli</w:t>
      </w:r>
      <w:r w:rsidR="00C3780E">
        <w:tab/>
      </w:r>
      <w:r w:rsidR="00E90DA8">
        <w:tab/>
      </w:r>
      <w:r w:rsidR="00E90DA8">
        <w:tab/>
      </w:r>
      <w:r w:rsidR="00C3780E">
        <w:t>- creating/managing client version</w:t>
      </w:r>
      <w:r w:rsidR="00E90DA8">
        <w:br/>
        <w:t xml:space="preserve">        neon-cli-minimum</w:t>
      </w:r>
      <w:r w:rsidR="00E90DA8">
        <w:tab/>
      </w:r>
      <w:r w:rsidR="00E90DA8">
        <w:tab/>
        <w:t xml:space="preserve">- minimum </w:t>
      </w:r>
      <w:r w:rsidR="00163E82">
        <w:t xml:space="preserve">allowed </w:t>
      </w:r>
      <w:r w:rsidR="00E90DA8">
        <w:t>client version</w:t>
      </w:r>
      <w:r w:rsidR="00AC53DC">
        <w:br/>
        <w:t xml:space="preserve">        pets</w:t>
      </w:r>
      <w:r w:rsidR="00202661">
        <w:t>-definition</w:t>
      </w:r>
      <w:r w:rsidR="009B6114">
        <w:tab/>
      </w:r>
      <w:r w:rsidR="009B6114">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t>- UUID for the cluster</w:t>
      </w:r>
      <w:r w:rsidR="0088652A">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9725377"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725378"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725379"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12C" w:rsidRDefault="0091012C" w:rsidP="005A524E">
      <w:pPr>
        <w:spacing w:after="0" w:line="240" w:lineRule="auto"/>
      </w:pPr>
      <w:r>
        <w:separator/>
      </w:r>
    </w:p>
  </w:endnote>
  <w:endnote w:type="continuationSeparator" w:id="0">
    <w:p w:rsidR="0091012C" w:rsidRDefault="0091012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12C" w:rsidRDefault="0091012C" w:rsidP="005A524E">
      <w:pPr>
        <w:spacing w:after="0" w:line="240" w:lineRule="auto"/>
      </w:pPr>
      <w:r>
        <w:separator/>
      </w:r>
    </w:p>
  </w:footnote>
  <w:footnote w:type="continuationSeparator" w:id="0">
    <w:p w:rsidR="0091012C" w:rsidRDefault="0091012C"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03C"/>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2328"/>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32A73-EDF5-413F-84DA-1F52DDBB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20</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481</cp:revision>
  <dcterms:created xsi:type="dcterms:W3CDTF">2016-11-29T18:47:00Z</dcterms:created>
  <dcterms:modified xsi:type="dcterms:W3CDTF">2018-06-06T00:37:00Z</dcterms:modified>
</cp:coreProperties>
</file>