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bookmarkStart w:id="0" w:name="_GoBack"/>
      <w:bookmarkEnd w:id="0"/>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r>
      <w:r w:rsidR="00B5102E">
        <w:t xml:space="preserve">        </w:t>
      </w:r>
      <w:r w:rsidR="00B5102E">
        <w:t xml:space="preserve">    </w:t>
      </w:r>
      <w:r w:rsidR="00B5102E">
        <w:t>[timestamp]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2018-06-05T14:30:13.000Z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an hour will </w:t>
      </w:r>
      <w:r w:rsidR="00B5102E">
        <w:br/>
        <w:t xml:space="preserve">                                        be removed by [neon-hive-manager].</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w:t>
      </w:r>
      <w:r w:rsidR="00D45B0A">
        <w:lastRenderedPageBreak/>
        <w:t xml:space="preserve">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lastRenderedPageBreak/>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7993933" r:id="rId15"/>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lastRenderedPageBreak/>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lastRenderedPageBreak/>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 xml:space="preserve">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7993934"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lastRenderedPageBreak/>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w:t>
      </w:r>
      <w:r w:rsidR="00B96926">
        <w:lastRenderedPageBreak/>
        <w:t>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7993935"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lastRenderedPageBreak/>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r>
      <w:r>
        <w:lastRenderedPageBreak/>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3F5" w:rsidRDefault="008113F5" w:rsidP="005A524E">
      <w:pPr>
        <w:spacing w:after="0" w:line="240" w:lineRule="auto"/>
      </w:pPr>
      <w:r>
        <w:separator/>
      </w:r>
    </w:p>
  </w:endnote>
  <w:endnote w:type="continuationSeparator" w:id="0">
    <w:p w:rsidR="008113F5" w:rsidRDefault="008113F5"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3F5" w:rsidRDefault="008113F5" w:rsidP="005A524E">
      <w:pPr>
        <w:spacing w:after="0" w:line="240" w:lineRule="auto"/>
      </w:pPr>
      <w:r>
        <w:separator/>
      </w:r>
    </w:p>
  </w:footnote>
  <w:footnote w:type="continuationSeparator" w:id="0">
    <w:p w:rsidR="008113F5" w:rsidRDefault="008113F5"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DE6"/>
    <w:rsid w:val="000E15DD"/>
    <w:rsid w:val="000E24F0"/>
    <w:rsid w:val="000E4E66"/>
    <w:rsid w:val="000E52C3"/>
    <w:rsid w:val="000E74AE"/>
    <w:rsid w:val="000F0516"/>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01E2"/>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21CC-5B03-4B09-86D6-A66B339C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26</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560</cp:revision>
  <dcterms:created xsi:type="dcterms:W3CDTF">2016-11-29T18:47:00Z</dcterms:created>
  <dcterms:modified xsi:type="dcterms:W3CDTF">2018-09-09T17:25:00Z</dcterms:modified>
</cp:coreProperties>
</file>