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2673" w14:textId="77777777" w:rsidR="00881CCD" w:rsidRDefault="00881CCD">
      <w:r w:rsidRPr="00881CCD">
        <w:rPr>
          <w:b/>
          <w:bCs/>
        </w:rPr>
        <w:t>*1. Development and use of non-digital or conventional instructional support materials*</w:t>
      </w:r>
      <w:r w:rsidRPr="00881CCD">
        <w:t xml:space="preserve"> I recently designed traditional instructional materials, such as physical charts and tactile models, for a Social Studies lesson. Initially, I felt it might be tedious compared to the ease of digital tools, but I actually found the hands-on creation process quite fulfilling. The positive aspect was seeing how these tangible tools can immediately engage students without relying on internet connectivity, though they obviously lack the dynamic, real-time updates of digital media. Analyzing this, I realized that conventional materials remain foundational and highly accessible, especially in resource-constrained educational environments where digital equity is an issue. I concluded that physical materials are not obsolete but rather a crucial component of a versatile teaching toolkit. Moving forward, I will ensure I deliberately balance high-tech tools with these reliable non-digital materials to guarantee inclusivity in my future classrooms.</w:t>
      </w:r>
    </w:p>
    <w:p w14:paraId="0CC15C82" w14:textId="77777777" w:rsidR="00881CCD" w:rsidRDefault="00881CCD"/>
    <w:p w14:paraId="138DFA99" w14:textId="77777777" w:rsidR="00881CCD" w:rsidRDefault="00881CCD">
      <w:r w:rsidRPr="00881CCD">
        <w:rPr>
          <w:b/>
          <w:bCs/>
        </w:rPr>
        <w:t>*2. Select and Use ICT Tools for Teaching and Learning*</w:t>
      </w:r>
      <w:r w:rsidRPr="00881CCD">
        <w:t xml:space="preserve"> During this unit, I explored various ICT tools like interactive quizzes and multimedia presentation software to enhance my instructional design. I felt slightly overwhelmed by the sheer volume of available applications but excited by their potential to make complex topics more accessible and engaging. Integrating these tools proved highly effective for visual storytelling, yet I noticed that selecting the right tool requires careful alignment with specific learning objectives rather than just using technology for its own sake. The experience highlighted that pedagogy must dictate the technology, not the other way around. I concluded that my primary focus should always be on the learning outcome rather than the flashiness of the app. In future lesson planning, I will strictly evaluate an ICT tool's pedagogical value using frameworks like the TPACK model before integrating it into my teaching modules. </w:t>
      </w:r>
    </w:p>
    <w:p w14:paraId="3D049764" w14:textId="77777777" w:rsidR="00881CCD" w:rsidRDefault="00881CCD"/>
    <w:p w14:paraId="289A1856" w14:textId="77777777" w:rsidR="00881CCD" w:rsidRDefault="00881CCD">
      <w:r w:rsidRPr="00881CCD">
        <w:rPr>
          <w:b/>
          <w:bCs/>
        </w:rPr>
        <w:t>*3. Creating e-portfolio as a Technology Tool*</w:t>
      </w:r>
      <w:r w:rsidRPr="00881CCD">
        <w:t xml:space="preserve"> The task involved curating my academic journey and instructional artifacts into a structured e-portfolio using a website builder. I felt a strong sense of pride assembling my work and seeing my progress, though I was initially anxious about the technical web-design aspects and formatting. Compiling this portfolio was an excellent way to visually track my growth as a pre-service teacher, allowing me to see the clear connections between the theories I've learned and how I will practically assess my future students. It became clear that an e-portfolio is not just a static repository for grades, but a dynamic tool for continuous self-reflection and professional branding. I plan to regularly update this e-portfolio even after this course ends, treating it as a living document of my evolving teaching philosophy and technological proficiency. </w:t>
      </w:r>
    </w:p>
    <w:p w14:paraId="4F359A71" w14:textId="77777777" w:rsidR="00881CCD" w:rsidRDefault="00881CCD"/>
    <w:p w14:paraId="0C78377C" w14:textId="77777777" w:rsidR="00881CCD" w:rsidRDefault="00881CCD">
      <w:r w:rsidRPr="00881CCD">
        <w:rPr>
          <w:b/>
          <w:bCs/>
        </w:rPr>
        <w:t>*4. Technology Collaborative Tools in the Digital World*</w:t>
      </w:r>
      <w:r w:rsidRPr="00881CCD">
        <w:t xml:space="preserve"> We engaged with various collaborative platforms, such as shared online documents and digital whiteboards, to facilitate academic group work. I felt energized collaborating with peers in real-time, although coordinating schedules and navigating simultaneous edits was occasionally frustrating when versions clashed. The experience highlighted how these tools break down geographical barriers and foster collective intelligence, which is particularly useful when coordinating complex group projects like our "Piso at </w:t>
      </w:r>
      <w:proofErr w:type="spellStart"/>
      <w:r w:rsidRPr="00881CCD">
        <w:t>Pananaw</w:t>
      </w:r>
      <w:proofErr w:type="spellEnd"/>
      <w:r w:rsidRPr="00881CCD">
        <w:t xml:space="preserve">" economics magazine. However, I realized that having the technology is not enough; clear communication protocols are essential to prevent confusion and duplicated efforts in asynchronous and synchronous digital spaces. In </w:t>
      </w:r>
      <w:r w:rsidRPr="00881CCD">
        <w:lastRenderedPageBreak/>
        <w:t xml:space="preserve">future group endeavors, I will establish clear digital etiquette, organize file structures, and designate specific role assignments early on to maximize the efficiency of these collaborative technologies. </w:t>
      </w:r>
    </w:p>
    <w:p w14:paraId="2D68C626" w14:textId="77777777" w:rsidR="00881CCD" w:rsidRDefault="00881CCD"/>
    <w:p w14:paraId="13B04A9C" w14:textId="5672C83A" w:rsidR="000932FC" w:rsidRDefault="00881CCD">
      <w:r w:rsidRPr="00881CCD">
        <w:rPr>
          <w:b/>
          <w:bCs/>
        </w:rPr>
        <w:t>*5. Digital Literacy Skills in the 21st-century*</w:t>
      </w:r>
      <w:r w:rsidRPr="00881CCD">
        <w:t xml:space="preserve"> This topic required me to critically assess my ability to find, evaluate, and communicate information ethically in digital environments. I felt challenged to examine my own online habits and confront the inherent biases in the media I consume on a daily basis. While I am generally comfortable navigating digital spaces, systematically evaluating the credibility and nuanced perspectives in online media proved to be a complex but vital academic exercise. I concluded that digital literacy goes far beyond basic technical operation; it is fundamentally about critical thinking, information hygiene, and responsible digital citizenship. I am committed to continuously refining my own media literacy skills and will make it a priority to teach my future students how to critically cross-reference online information to navigate an era prone to misinformation.</w:t>
      </w:r>
    </w:p>
    <w:sectPr w:rsidR="000932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CD"/>
    <w:rsid w:val="000932FC"/>
    <w:rsid w:val="004955C5"/>
    <w:rsid w:val="005448F6"/>
    <w:rsid w:val="006E6F2E"/>
    <w:rsid w:val="00881CCD"/>
    <w:rsid w:val="00973B92"/>
    <w:rsid w:val="009C72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742F"/>
  <w15:chartTrackingRefBased/>
  <w15:docId w15:val="{3DC9CC6E-2B13-49E2-830E-69E0EE14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CCD"/>
    <w:rPr>
      <w:rFonts w:eastAsiaTheme="majorEastAsia" w:cstheme="majorBidi"/>
      <w:color w:val="272727" w:themeColor="text1" w:themeTint="D8"/>
    </w:rPr>
  </w:style>
  <w:style w:type="paragraph" w:styleId="Title">
    <w:name w:val="Title"/>
    <w:basedOn w:val="Normal"/>
    <w:next w:val="Normal"/>
    <w:link w:val="TitleChar"/>
    <w:uiPriority w:val="10"/>
    <w:qFormat/>
    <w:rsid w:val="00881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CCD"/>
    <w:pPr>
      <w:spacing w:before="160"/>
      <w:jc w:val="center"/>
    </w:pPr>
    <w:rPr>
      <w:i/>
      <w:iCs/>
      <w:color w:val="404040" w:themeColor="text1" w:themeTint="BF"/>
    </w:rPr>
  </w:style>
  <w:style w:type="character" w:customStyle="1" w:styleId="QuoteChar">
    <w:name w:val="Quote Char"/>
    <w:basedOn w:val="DefaultParagraphFont"/>
    <w:link w:val="Quote"/>
    <w:uiPriority w:val="29"/>
    <w:rsid w:val="00881CCD"/>
    <w:rPr>
      <w:i/>
      <w:iCs/>
      <w:color w:val="404040" w:themeColor="text1" w:themeTint="BF"/>
    </w:rPr>
  </w:style>
  <w:style w:type="paragraph" w:styleId="ListParagraph">
    <w:name w:val="List Paragraph"/>
    <w:basedOn w:val="Normal"/>
    <w:uiPriority w:val="34"/>
    <w:qFormat/>
    <w:rsid w:val="00881CCD"/>
    <w:pPr>
      <w:ind w:left="720"/>
      <w:contextualSpacing/>
    </w:pPr>
  </w:style>
  <w:style w:type="character" w:styleId="IntenseEmphasis">
    <w:name w:val="Intense Emphasis"/>
    <w:basedOn w:val="DefaultParagraphFont"/>
    <w:uiPriority w:val="21"/>
    <w:qFormat/>
    <w:rsid w:val="00881CCD"/>
    <w:rPr>
      <w:i/>
      <w:iCs/>
      <w:color w:val="2F5496" w:themeColor="accent1" w:themeShade="BF"/>
    </w:rPr>
  </w:style>
  <w:style w:type="paragraph" w:styleId="IntenseQuote">
    <w:name w:val="Intense Quote"/>
    <w:basedOn w:val="Normal"/>
    <w:next w:val="Normal"/>
    <w:link w:val="IntenseQuoteChar"/>
    <w:uiPriority w:val="30"/>
    <w:qFormat/>
    <w:rsid w:val="00881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CCD"/>
    <w:rPr>
      <w:i/>
      <w:iCs/>
      <w:color w:val="2F5496" w:themeColor="accent1" w:themeShade="BF"/>
    </w:rPr>
  </w:style>
  <w:style w:type="character" w:styleId="IntenseReference">
    <w:name w:val="Intense Reference"/>
    <w:basedOn w:val="DefaultParagraphFont"/>
    <w:uiPriority w:val="32"/>
    <w:qFormat/>
    <w:rsid w:val="00881C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720</Words>
  <Characters>4105</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Vincent Ebron</dc:creator>
  <cp:keywords/>
  <dc:description/>
  <cp:lastModifiedBy>Ian Vincent Ebron</cp:lastModifiedBy>
  <cp:revision>2</cp:revision>
  <dcterms:created xsi:type="dcterms:W3CDTF">2026-04-25T07:34:00Z</dcterms:created>
  <dcterms:modified xsi:type="dcterms:W3CDTF">2026-04-25T07:34:00Z</dcterms:modified>
</cp:coreProperties>
</file>