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OMBRO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ombro"/>
          <w:tag w:val="Lado_ombro"/>
          <w:id w:val="90033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Tendão da cabeça longa do bíceps com arquitetura fibrilar preservada, apresentando quantidade normal de líquido em sua bainha sinovial, sem sinais de luxação durante a rotação umeral.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Tendões componentes do manguito rotador com espessura e arquitetura fibrilar preservadas, contornos regulares, sem sinais de ruptura.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Bursa subacromiodeltoidea anatômica.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Recesso posterior sem sinais de derrame articular.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Ausência de irregularidade de superfícies ósseas periarticulares.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Ventres musculares com arquitetura e trofismo conservados.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ombro_0"/>
          <w:tag w:val="Impressao_ombro_0"/>
          <w:id w:val="90034"/>
          <w:dropDownList>
            <w:listItem w:displayText="Estudo ecográfico sem alterações ao método." w:value="Estudo ecográfico sem alterações ao método."/>
            <w:listItem w:displayText="Tendinopatia do tendão ..... do manguito rotador." w:value="Tendinopatia do tendão ..... do manguito rotador."/>
            <w:listItem w:displayText="Tendinopatia calcária do tendão ......" w:value="Tendinopatia calcária do tendão ......"/>
            <w:listItem w:displayText="Rotura parcial do tendão ..... do manguito rotador." w:value="Rotura parcial do tendão ..... do manguito rotador."/>
            <w:listItem w:displayText="Rotura transfixante do tendão ..... do manguito rotador." w:value="Rotura transfixante do tendão ..... do manguito rotador."/>
            <w:listItem w:displayText="Bursite subacromiodeltoidea." w:value="Bursite subacromiodeltoidea."/>
            <w:listItem w:displayText="Tenossinovite da cabeça longa do bíceps." w:value="Tenossinovite da cabeça longa do bíceps."/>
            <w:listItem w:displayText="Tendinopatia do manguito rotador associada a bursite subacromiodeltoidea." w:value="Tendinopatia do manguito rotador associada a bursite subacromiodeltoidea."/>
            <w:listItem w:displayText="Artropatia degenerativa da articulação acromioclavicular." w:value="Artropatia degenerativa da articulação acromioclavicular."/>
            <w:listItem w:displayText="Achados compatíveis com síndrome do impacto subacromial." w:value="Achados compatíveis com síndrome do impacto subacromial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O OMBRO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Tendão da cabeça longa do bíceps (CLB)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 discreta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da cabeça longa do bíceps com arquitetura fibrilar preservada, pequena distensão líquida da bainha sinovial, sem sinais de luxação durante a rotação umeral.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Tendinose com tenossinovite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da cabeça longa do bíceps com espessura normal, padrão fibrilar heterogêneo e distensão líquida da bainha sinovial.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 com hiperemia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da cabeça longa do bíceps com distensão líquida da bainha sinovial medindo ..... mm, associada a espessamento sinovial e hiperemia ao estudo Doppler, compatível com tenossinovite.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Subluxação / luxação medial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da cabeça longa do bíceps subluxado / luxado medialmente durante a rotação umeral, associado a lesão do intervalo rotador e do tendão subescapular.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Sulco bicipital vazio, sem visualização do tendão da cabeça longa do bíceps em sua topografia, com retração distal do ventre muscular, compatível com rotura completa.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Manguito rotador (supraespinal / infraespinal / subescapular / redondo menor)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Tendinose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....., com padrão fibrilar heterogêneo por tendinose.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com espessamento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..... espessado (..... mm), com padrão fibrilar heterogêneo e áreas hipoecogênicas de permeio,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calcária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Foco hiperecogênico com sombra acústica posterior no interior do tendão ....., medindo ..... mm, compatível com tendinopatia calcária.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Rotura parcial de face articular / bursal / intrassubstancial do tendão ....., caracterizada por falha hipo/anecoica medindo ..... mm no sentido ântero-posterior e ..... mm no sentido látero-lateral.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transfixante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Rotura transfixante do tendão ....., com descontinuidade das fibras em toda a espessura, medindo ..... x ..... mm, associada a herniação da bursa subacromiodeltoidea e contato do músculo deltoide com a superfície da cabeça umeral.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 com retração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Rotura completa do tendão ....., sem visualização de fibras em sua inserção, com retração do coto tendíneo até ......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Delaminação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Rotura do tendão ..... associada a delaminação das camadas tendíneas.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Bursa subacromiodeltoidea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Bursopatia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subacromiodeltoidea espessada e com discreta distensão líquida por bursopatia.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subacromiodeltoidea espessada (..... mm), com distensão líquida e hiperemia ao estudo Doppler, compatível com bursite.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Impacto subacromial (dinâmico)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À manobra de abdução ativa observa-se abaulamento da bursa subacromiodeltoidea junto ao arco coracoacromial, com limitação do deslizamento do manguito rotador, compatível com síndrome do impacto subacromial.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Recesso posterior / cavidade articular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Derrame articular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Distensão líquida do recesso posterior, medindo ..... mm, sem espessamento sinovial detectável.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Proliferação sinovial no recesso posterior, com hiperemia ao estudo Doppler, compatível com sinovite.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Superfícies ósseas / articulação acromioclavicular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Artropatia acromioclavicular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Articulação acromioclavicular com redução da amplitude articular, irregularidade e osteofitose marginal das superfícies ósseas, associada a distensão capsular, compatível com artropatia degenerativa.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Entesopatia / entesófito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Entesófito e irregularidade cortical junto à inserção do tendão ..... no tubérculo maior, sugestivos de entesopatia crônica.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Ventres musculares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Atrofia / degeneração gordurosa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Ventre muscular do ..... com redução volumétrica e aumento difuso da ecogenicidade, compatível com atrofia e degeneração gordurosa.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