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BRAÇO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braco"/>
          <w:tag w:val="Lado_braco"/>
          <w:id w:val="90035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subcutâneo conservados.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Estruturas miotendinosas com trofismo e ecotextura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Ausência de sinais de líquido na bursa olecraneana.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Epicôndilos laterais e mediais anatômicos.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Tendões do tríceps e bíceps de espessura e ecotextura normais.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braco_0"/>
          <w:tag w:val="Impressao_braco_0"/>
          <w:id w:val="90036"/>
          <w:dropDownList>
            <w:listItem w:displayText="Estudo ecográfico sem alterações ao método." w:value="Estudo ecográfico sem alterações ao método."/>
            <w:listItem w:displayText="Lesão muscular grau ..... do músculo ......" w:value="Lesão muscular grau ..... do músculo ......"/>
            <w:listItem w:displayText="Hematoma intramuscular do músculo ......" w:value="Hematoma intramuscular do músculo ......"/>
            <w:listItem w:displayText="Tendinopatia distal do bíceps braquial." w:value="Tendinopatia distal do bíceps braquial."/>
            <w:listItem w:displayText="Rotura completa da cabeça longa do bíceps braquial." w:value="Rotura completa da cabeça longa do bíceps braquial."/>
            <w:listItem w:displayText="Tendinopatia do tríceps braquial." w:value="Tendinopatia do tríceps braquial."/>
            <w:listItem w:displayText="Bursite olecraneana." w:value="Bursite olecraneana."/>
            <w:listItem w:displayText="Formação nodular de partes moles com características de lipoma." w:value="Formação nodular de partes moles com características de lipoma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BRAÇO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Pele e tecido celular subcutâneo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Lipoma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ovalada, isoecogênica / discretamente hiperecogênica, de limites definidos, com eixo maior paralelo à pele, medindo ..... x ..... x ..... mm, sem fluxo relevante ao estudo Doppler, compatível com lipoma.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epidérmico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nodular hipoecogênica, de limites definidos, com reforço acústico posterior e conteúdo laminado, medindo ..... x ..... mm, situada no plano dérmico/subcutâneo, compatível com cisto epidérmico.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Coleção / abscesso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de conteúdo espesso e ecos móveis de permeio, medindo ..... x ..... x ..... mm (volume estimado ..... mL), com halo de hiperemia periférica ao Doppler, sugestiva de coleção de natureza inflamatória / abscesso.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Celulite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aumento difuso da ecogenicidade do tecido celular subcutâneo, com finas lâminas líquidas de permeio, achados sugestivos de processo inflamatório (celulite).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 estranho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Imagem linear hiperecogênica com sombra acústica posterior, medindo ..... mm, circundada por halo hipoecogênico, compatível com corpo estranho e reação inflamatória adjacente.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Ventres musculares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focal de aumento da ecogenicidade e borramento do padrão miofascial no ventre muscular do ....., sem descontinuidade fibrilar, compatível com lesão muscular grau I (estiramento).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parcial das fibras musculares do ....., medindo ..... x ..... mm, com pequena coleção hemática de permeio, compatível com lesão muscular grau 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 grau III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....., com retração dos cotos musculares e coleção hemática interposta, compatível com lesão muscular grau III.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Hérnia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focal da fáscia, com herniação do ventre muscular do ..... durante a contração.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Bursa olecraneana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olecraneana com distensão líquida medindo ..... x ..... mm e espessamento sinovial, compatível com bursite.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hemorrágica / septada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Bursa olecraneana distendida por conteúdo espesso, com septações e debris de permeio, medindo ..... x ..... mm.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Tendões do bíceps e do tríceps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distal do bíceps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distal do bíceps braquial espessado, com padrão fibrilar heterogêneo junto à inserção na tuberosidade radial,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 do bíceps distal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hipoecogênica focal com descontinuidade parcial das fibras do tendão distal do bíceps braquial, medindo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 da CLB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Ausência de visualização do tendão da cabeça longa do bíceps em sua topografia, com retração distal do ventre muscular, conferindo o aspecto de 'sinal de Popeye'.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do tríceps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tríceps braquial espessado, com padrão fibrilar heterogêneo junto à inserção olecraniana, associado a entesófito.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tríceps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do tríceps braquial junto à inserção olecraniana, com gap de ..... mm.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