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Standard"/>
        <w:tabs>
          <w:tab w:val="right" w:pos="8504" w:leader="dot"/>
        </w:tabs>
        <w:spacing w:before="130" w:after="90"/>
        <w:textAlignment w:val="baseline"/>
      </w:pPr>
      <w:r>
        <w:rPr>
          <w:b/>
          <w:bCs/>
          <w:caps/>
          <w:color w:val="595959"/>
          <w:spacing w:val="50"/>
          <w:sz w:val="17"/>
          <w:szCs w:val="17"/>
        </w:rPr>
        <w:t xml:space="preserve">Paciente</w:t>
      </w:r>
      <w:r>
        <w:rPr>
          <w:color w:val="C4C4C4"/>
          <w:sz w:val="22"/>
          <w:szCs w:val="22"/>
        </w:rPr>
        <w:tab/>
      </w:r>
    </w:p>
    <w:p>
      <w:pPr>
        <w:pStyle w:val="Standard"/>
        <w:tabs>
          <w:tab w:val="right" w:pos="3900" w:leader="dot"/>
          <w:tab w:val="right" w:pos="8504" w:leader="dot"/>
        </w:tabs>
        <w:spacing w:before="0" w:after="60"/>
        <w:textAlignment w:val="baseline"/>
      </w:pPr>
      <w:r>
        <w:rPr>
          <w:b/>
          <w:bCs/>
          <w:caps/>
          <w:color w:val="595959"/>
          <w:spacing w:val="50"/>
          <w:sz w:val="17"/>
          <w:szCs w:val="17"/>
        </w:rPr>
        <w:t xml:space="preserve">Data</w:t>
      </w:r>
      <w:r>
        <w:rPr>
          <w:color w:val="C4C4C4"/>
          <w:sz w:val="22"/>
          <w:szCs w:val="22"/>
        </w:rPr>
        <w:tab/>
      </w:r>
      <w:r>
        <w:rPr>
          <w:b/>
          <w:bCs/>
          <w:caps/>
          <w:color w:val="595959"/>
          <w:spacing w:val="50"/>
          <w:sz w:val="17"/>
          <w:szCs w:val="17"/>
        </w:rPr>
        <w:t xml:space="preserve">      Médico solicitante</w:t>
      </w:r>
      <w:r>
        <w:rPr>
          <w:color w:val="C4C4C4"/>
          <w:sz w:val="22"/>
          <w:szCs w:val="22"/>
        </w:rPr>
        <w:tab/>
      </w:r>
    </w:p>
    <w:p>
      <w:pPr>
        <w:pStyle w:val="Standard"/>
        <w:pBdr>
          <w:bottom w:val="single" w:sz="6" w:space="2" w:color="C4C4C4"/>
        </w:pBdr>
        <w:spacing w:before="0" w:after="170"/>
        <w:textAlignment w:val="baseline"/>
      </w:pPr>
    </w:p>
    <w:p>
      <w:pPr>
        <w:pStyle w:val="Standard"/>
        <w:keepNext/>
        <w:keepLines/>
        <w:pBdr>
          <w:bottom w:val="single" w:sz="8" w:space="2" w:color="3F7A5E"/>
        </w:pBdr>
        <w:spacing w:before="0" w:after="140"/>
        <w:textAlignment w:val="baseline"/>
      </w:pPr>
      <w:r>
        <w:rPr>
          <w:b/>
          <w:bCs/>
          <w:color w:val="1A1A1A"/>
          <w:spacing w:val="40"/>
          <w:sz w:val="24"/>
          <w:szCs w:val="24"/>
        </w:rPr>
        <w:t xml:space="preserve">ULTRASSONOGRAFIA DA PERNA </w:t>
      </w:r>
      <w:sdt>
        <w:sdtPr>
          <w:rPr>
            <w:b/>
            <w:bCs/>
            <w:color w:val="1A1A1A"/>
            <w:spacing w:val="40"/>
            <w:sz w:val="24"/>
            <w:szCs w:val="24"/>
          </w:rPr>
          <w:alias w:val="Lado_perna"/>
          <w:tag w:val="Lado_perna"/>
          <w:id w:val="90055"/>
          <w:dropDownList>
            <w:listItem w:displayText="DIREITA" w:value="DIREITA"/>
            <w:listItem w:displayText="ESQUERDA" w:value="ESQUERDA"/>
          </w:dropDownList>
        </w:sdtPr>
        <w:sdtContent>
          <w:r>
            <w:rPr>
              <w:b/>
              <w:bCs/>
              <w:color w:val="1A1A1A"/>
              <w:spacing w:val="40"/>
              <w:sz w:val="24"/>
              <w:szCs w:val="24"/>
            </w:rPr>
            <w:t xml:space="preserve">DIREITA</w:t>
          </w:r>
        </w:sdtContent>
      </w:sdt>
    </w:p>
    <w:p>
      <w:pPr>
        <w:pStyle w:val="Standard"/>
        <w:keepNext/>
        <w:keepLines/>
        <w:spacing w:before="0" w:after="50"/>
        <w:textAlignment w:val="baseline"/>
      </w:pPr>
      <w:r>
        <w:rPr>
          <w:b/>
          <w:bCs/>
          <w:caps/>
          <w:color w:val="595959"/>
          <w:spacing w:val="60"/>
          <w:sz w:val="18"/>
          <w:szCs w:val="18"/>
        </w:rPr>
        <w:t xml:space="preserve">Relatório</w:t>
      </w:r>
    </w:p>
    <w:p>
      <w:pPr>
        <w:pStyle w:val="Standard"/>
        <w:tabs>
          <w:tab w:val="left" w:pos="360"/>
        </w:tabs>
        <w:spacing w:before="0" w:after="70"/>
        <w:ind w:left="360" w:hanging="360"/>
        <w:textAlignment w:val="baseline"/>
      </w:pPr>
      <w:r>
        <w:rPr>
          <w:b/>
          <w:bCs/>
          <w:color w:val="3F7A5E"/>
          <w:sz w:val="22"/>
          <w:szCs w:val="22"/>
        </w:rPr>
        <w:t xml:space="preserve">1.</w:t>
      </w:r>
      <w:r>
        <w:tab/>
      </w:r>
      <w:r>
        <w:rPr>
          <w:color w:val="1A1A1A"/>
          <w:sz w:val="22"/>
          <w:szCs w:val="22"/>
        </w:rPr>
        <w:t xml:space="preserve">Pele e tecido celular subcutâneo com espessura e ecogenicidade normais.</w:t>
      </w:r>
    </w:p>
    <w:p>
      <w:pPr>
        <w:pStyle w:val="Standard"/>
        <w:tabs>
          <w:tab w:val="left" w:pos="360"/>
        </w:tabs>
        <w:spacing w:before="0" w:after="70"/>
        <w:ind w:left="360" w:hanging="360"/>
        <w:textAlignment w:val="baseline"/>
      </w:pPr>
      <w:r>
        <w:rPr>
          <w:b/>
          <w:bCs/>
          <w:color w:val="3F7A5E"/>
          <w:sz w:val="22"/>
          <w:szCs w:val="22"/>
        </w:rPr>
        <w:t xml:space="preserve">2.</w:t>
      </w:r>
      <w:r>
        <w:tab/>
      </w:r>
      <w:r>
        <w:rPr>
          <w:color w:val="1A1A1A"/>
          <w:sz w:val="22"/>
          <w:szCs w:val="22"/>
        </w:rPr>
        <w:t xml:space="preserve">Ventres musculares com arquitetura miofascial preservada.</w:t>
      </w:r>
    </w:p>
    <w:p>
      <w:pPr>
        <w:pStyle w:val="Standard"/>
        <w:tabs>
          <w:tab w:val="left" w:pos="360"/>
        </w:tabs>
        <w:spacing w:before="0" w:after="70"/>
        <w:ind w:left="360" w:hanging="360"/>
        <w:textAlignment w:val="baseline"/>
      </w:pPr>
      <w:r>
        <w:rPr>
          <w:b/>
          <w:bCs/>
          <w:color w:val="3F7A5E"/>
          <w:sz w:val="22"/>
          <w:szCs w:val="22"/>
        </w:rPr>
        <w:t xml:space="preserve">3.</w:t>
      </w:r>
      <w:r>
        <w:tab/>
      </w:r>
      <w:r>
        <w:rPr>
          <w:color w:val="1A1A1A"/>
          <w:sz w:val="22"/>
          <w:szCs w:val="22"/>
        </w:rPr>
        <w:t xml:space="preserve">Junções miotendíneas íntegras.</w:t>
      </w:r>
    </w:p>
    <w:p>
      <w:pPr>
        <w:pStyle w:val="Standard"/>
        <w:tabs>
          <w:tab w:val="left" w:pos="360"/>
        </w:tabs>
        <w:spacing w:before="0" w:after="70"/>
        <w:ind w:left="360" w:hanging="360"/>
        <w:textAlignment w:val="baseline"/>
      </w:pPr>
      <w:r>
        <w:rPr>
          <w:b/>
          <w:bCs/>
          <w:color w:val="3F7A5E"/>
          <w:sz w:val="22"/>
          <w:szCs w:val="22"/>
        </w:rPr>
        <w:t xml:space="preserve">4.</w:t>
      </w:r>
      <w:r>
        <w:tab/>
      </w:r>
      <w:r>
        <w:rPr>
          <w:color w:val="1A1A1A"/>
          <w:sz w:val="22"/>
          <w:szCs w:val="22"/>
        </w:rPr>
        <w:t xml:space="preserve">Tendão calcâneo de morfologia e ecotextura normais.</w:t>
      </w:r>
    </w:p>
    <w:p>
      <w:pPr>
        <w:pStyle w:val="Standard"/>
        <w:tabs>
          <w:tab w:val="left" w:pos="360"/>
        </w:tabs>
        <w:spacing w:before="0" w:after="70"/>
        <w:ind w:left="360" w:hanging="360"/>
        <w:textAlignment w:val="baseline"/>
      </w:pPr>
      <w:r>
        <w:rPr>
          <w:b/>
          <w:bCs/>
          <w:color w:val="3F7A5E"/>
          <w:sz w:val="22"/>
          <w:szCs w:val="22"/>
        </w:rPr>
        <w:t xml:space="preserve">5.</w:t>
      </w:r>
      <w:r>
        <w:tab/>
      </w:r>
      <w:r>
        <w:rPr>
          <w:color w:val="1A1A1A"/>
          <w:sz w:val="22"/>
          <w:szCs w:val="22"/>
        </w:rPr>
        <w:t xml:space="preserve">Fossa poplítea livre.</w:t>
      </w:r>
    </w:p>
    <w:p>
      <w:pPr>
        <w:pStyle w:val="Standard"/>
        <w:tabs>
          <w:tab w:val="left" w:pos="360"/>
        </w:tabs>
        <w:spacing w:before="0" w:after="70"/>
        <w:ind w:left="360" w:hanging="360"/>
        <w:textAlignment w:val="baseline"/>
      </w:pPr>
      <w:r>
        <w:rPr>
          <w:b/>
          <w:bCs/>
          <w:color w:val="3F7A5E"/>
          <w:sz w:val="22"/>
          <w:szCs w:val="22"/>
        </w:rPr>
        <w:t xml:space="preserve">6.</w:t>
      </w:r>
      <w:r>
        <w:tab/>
      </w:r>
      <w:r>
        <w:rPr>
          <w:color w:val="1A1A1A"/>
          <w:sz w:val="22"/>
          <w:szCs w:val="22"/>
        </w:rPr>
        <w:t xml:space="preserve">Não se observam formações sólidas ou coleções líquidas subcutâneas.</w:t>
      </w:r>
    </w:p>
    <w:p>
      <w:pPr>
        <w:pStyle w:val="Standard"/>
        <w:keepNext/>
        <w:keepLines/>
        <w:spacing w:before="170" w:after="50"/>
        <w:textAlignment w:val="baseline"/>
      </w:pPr>
      <w:r>
        <w:rPr>
          <w:b/>
          <w:bCs/>
          <w:caps/>
          <w:color w:val="595959"/>
          <w:spacing w:val="60"/>
          <w:sz w:val="18"/>
          <w:szCs w:val="18"/>
        </w:rPr>
        <w:t xml:space="preserve">Impressão</w:t>
      </w:r>
    </w:p>
    <w:p>
      <w:pPr>
        <w:pStyle w:val="Standard"/>
        <w:spacing w:before="0" w:after="70"/>
        <w:textAlignment w:val="baseline"/>
      </w:pPr>
      <w:sdt>
        <w:sdtPr>
          <w:rPr>
            <w:color w:val="1A1A1A"/>
            <w:sz w:val="22"/>
            <w:szCs w:val="22"/>
          </w:rPr>
          <w:alias w:val="Impressao_perna_0"/>
          <w:tag w:val="Impressao_perna_0"/>
          <w:id w:val="90056"/>
          <w:dropDownList>
            <w:listItem w:displayText="Estudo ecográfico sem alterações ao método." w:value="Estudo ecográfico sem alterações ao método."/>
            <w:listItem w:displayText="Lesão muscular grau ..... do músculo ......" w:value="Lesão muscular grau ..... do músculo ......"/>
            <w:listItem w:displayText="Lesão da junção miotendínea da cabeça medial do gastrocnêmio (tennis leg)." w:value="Lesão da junção miotendínea da cabeça medial do gastrocnêmio (tennis leg)."/>
            <w:listItem w:displayText="Hematoma intramuscular em fase de organização." w:value="Hematoma intramuscular em fase de organização."/>
            <w:listItem w:displayText="Cisto poplíteo roto, com dissecção líquida dos planos musculares." w:value="Cisto poplíteo roto, com dissecção líquida dos planos musculares."/>
            <w:listItem w:displayText="Tendinopatia do tendão calcâneo." w:value="Tendinopatia do tendão calcâneo."/>
            <w:listItem w:displayText="Hérnia muscular fascial." w:value="Hérnia muscular fascial."/>
            <w:listItem w:displayText="Achados sugestivos de fratura de estresse tibial." w:value="Achados sugestivos de fratura de estresse tibial."/>
          </w:dropDownList>
        </w:sdtPr>
        <w:sdtContent>
          <w:r>
            <w:rPr>
              <w:color w:val="1A1A1A"/>
              <w:sz w:val="22"/>
              <w:szCs w:val="22"/>
            </w:rPr>
            <w:t xml:space="preserve">Estudo ecográfico sem alterações ao método.</w:t>
          </w:r>
        </w:sdtContent>
      </w:sdt>
    </w:p>
    <w:p>
      <w:pPr>
        <w:pStyle w:val="Standard"/>
      </w:pPr>
      <w:r>
        <w:br w:type="page"/>
      </w:r>
    </w:p>
    <w:p>
      <w:pPr>
        <w:pStyle w:val="Standard"/>
        <w:keepNext/>
        <w:keepLines/>
        <w:pBdr>
          <w:bottom w:val="single" w:sz="6" w:space="2" w:color="C4C4C4"/>
        </w:pBdr>
        <w:spacing w:before="130" w:after="40"/>
        <w:textAlignment w:val="baseline"/>
      </w:pPr>
      <w:r>
        <w:rPr>
          <w:b/>
          <w:bCs/>
          <w:caps/>
          <w:color w:val="1A1A1A"/>
          <w:spacing w:val="60"/>
          <w:sz w:val="18"/>
          <w:szCs w:val="18"/>
        </w:rPr>
        <w:t xml:space="preserve">Banco de achados</w:t>
      </w:r>
      <w:r>
        <w:rPr>
          <w:caps/>
          <w:color w:val="595959"/>
          <w:spacing w:val="60"/>
          <w:sz w:val="18"/>
          <w:szCs w:val="18"/>
        </w:rPr>
        <w:t xml:space="preserve">   A PERNA</w:t>
      </w:r>
    </w:p>
    <w:p>
      <w:pPr>
        <w:pStyle w:val="Standard"/>
        <w:spacing w:before="0" w:after="130"/>
        <w:textAlignment w:val="baseline"/>
      </w:pPr>
      <w:r>
        <w:rPr>
          <w:i/>
          <w:iCs/>
          <w:color w:val="7A7A7A"/>
          <w:sz w:val="17"/>
          <w:szCs w:val="17"/>
        </w:rPr>
        <w:t xml:space="preserve">Material de apoio à redação — não faz parte do laudo; apagar esta página antes da emissão.</w:t>
      </w:r>
    </w:p>
    <w:p>
      <w:pPr>
        <w:pStyle w:val="Standard"/>
        <w:keepNext/>
        <w:keepLines/>
        <w:spacing w:before="110" w:after="45"/>
        <w:textAlignment w:val="baseline"/>
      </w:pPr>
      <w:r>
        <w:rPr>
          <w:b/>
          <w:bCs/>
          <w:color w:val="3F7A5E"/>
          <w:spacing w:val="25"/>
          <w:sz w:val="19"/>
          <w:szCs w:val="19"/>
        </w:rPr>
        <w:t xml:space="preserve">Item 1 — Pele e tecido celular subcutâneo</w:t>
      </w:r>
    </w:p>
    <w:p>
      <w:pPr>
        <w:pStyle w:val="Standard"/>
        <w:pBdr>
          <w:left w:val="single" w:sz="6" w:space="6" w:color="C4C4C4"/>
        </w:pBdr>
        <w:spacing w:before="0" w:after="45"/>
        <w:ind w:left="200"/>
        <w:textAlignment w:val="baseline"/>
      </w:pPr>
      <w:r>
        <w:rPr>
          <w:b/>
          <w:bCs/>
          <w:color w:val="1A1A1A"/>
          <w:sz w:val="19"/>
          <w:szCs w:val="19"/>
        </w:rPr>
        <w:t xml:space="preserve">Celulite</w:t>
      </w:r>
      <w:r>
        <w:rPr>
          <w:color w:val="C4C4C4"/>
          <w:sz w:val="19"/>
          <w:szCs w:val="19"/>
        </w:rPr>
        <w:t xml:space="preserve">  ·  </w:t>
      </w:r>
      <w:r>
        <w:rPr>
          <w:color w:val="1A1A1A"/>
          <w:sz w:val="19"/>
          <w:szCs w:val="19"/>
        </w:rPr>
        <w:t xml:space="preserve">Espessamento e aumento difuso da ecogenicidade do tecido celular subcutâneo, com finas lâminas líquidas de permeio.</w:t>
      </w:r>
    </w:p>
    <w:p>
      <w:pPr>
        <w:pStyle w:val="Standard"/>
        <w:pBdr>
          <w:left w:val="single" w:sz="6" w:space="6" w:color="C4C4C4"/>
        </w:pBdr>
        <w:spacing w:before="0" w:after="45"/>
        <w:ind w:left="200"/>
        <w:textAlignment w:val="baseline"/>
      </w:pPr>
      <w:r>
        <w:rPr>
          <w:b/>
          <w:bCs/>
          <w:color w:val="1A1A1A"/>
          <w:sz w:val="19"/>
          <w:szCs w:val="19"/>
        </w:rPr>
        <w:t xml:space="preserve">Lipoma</w:t>
      </w:r>
      <w:r>
        <w:rPr>
          <w:color w:val="C4C4C4"/>
          <w:sz w:val="19"/>
          <w:szCs w:val="19"/>
        </w:rPr>
        <w:t xml:space="preserve">  ·  </w:t>
      </w:r>
      <w:r>
        <w:rPr>
          <w:color w:val="1A1A1A"/>
          <w:sz w:val="19"/>
          <w:szCs w:val="19"/>
        </w:rPr>
        <w:t xml:space="preserve">Formação ovalada, isoecogênica, de limites definidos, com eixo maior paralelo à pele, medindo ..... x ..... x ..... mm, compatível com lipoma.</w:t>
      </w:r>
    </w:p>
    <w:p>
      <w:pPr>
        <w:pStyle w:val="Standard"/>
        <w:pBdr>
          <w:left w:val="single" w:sz="6" w:space="6" w:color="C4C4C4"/>
        </w:pBdr>
        <w:spacing w:before="0" w:after="45"/>
        <w:ind w:left="200"/>
        <w:textAlignment w:val="baseline"/>
      </w:pPr>
      <w:r>
        <w:rPr>
          <w:b/>
          <w:bCs/>
          <w:color w:val="1A1A1A"/>
          <w:sz w:val="19"/>
          <w:szCs w:val="19"/>
        </w:rPr>
        <w:t xml:space="preserve">Edema / linfedema</w:t>
      </w:r>
      <w:r>
        <w:rPr>
          <w:color w:val="C4C4C4"/>
          <w:sz w:val="19"/>
          <w:szCs w:val="19"/>
        </w:rPr>
        <w:t xml:space="preserve">  ·  </w:t>
      </w:r>
      <w:r>
        <w:rPr>
          <w:color w:val="1A1A1A"/>
          <w:sz w:val="19"/>
          <w:szCs w:val="19"/>
        </w:rPr>
        <w:t xml:space="preserve">Aumento difuso da espessura do tecido celular subcutâneo, com lâminas líquidas dispostas em padrão reticular.</w:t>
      </w:r>
    </w:p>
    <w:p>
      <w:pPr>
        <w:pStyle w:val="Standard"/>
        <w:keepNext/>
        <w:keepLines/>
        <w:spacing w:before="110" w:after="45"/>
        <w:textAlignment w:val="baseline"/>
      </w:pPr>
      <w:r>
        <w:rPr>
          <w:b/>
          <w:bCs/>
          <w:color w:val="3F7A5E"/>
          <w:spacing w:val="25"/>
          <w:sz w:val="19"/>
          <w:szCs w:val="19"/>
        </w:rPr>
        <w:t xml:space="preserve">Item 2 — Ventres musculares</w:t>
      </w:r>
    </w:p>
    <w:p>
      <w:pPr>
        <w:pStyle w:val="Standard"/>
        <w:pBdr>
          <w:left w:val="single" w:sz="6" w:space="6" w:color="C4C4C4"/>
        </w:pBdr>
        <w:spacing w:before="0" w:after="45"/>
        <w:ind w:left="200"/>
        <w:textAlignment w:val="baseline"/>
      </w:pPr>
      <w:r>
        <w:rPr>
          <w:b/>
          <w:bCs/>
          <w:color w:val="1A1A1A"/>
          <w:sz w:val="19"/>
          <w:szCs w:val="19"/>
        </w:rPr>
        <w:t xml:space="preserve">Tennis leg</w:t>
      </w:r>
      <w:r>
        <w:rPr>
          <w:color w:val="C4C4C4"/>
          <w:sz w:val="19"/>
          <w:szCs w:val="19"/>
        </w:rPr>
        <w:t xml:space="preserve">  ·  </w:t>
      </w:r>
      <w:r>
        <w:rPr>
          <w:color w:val="1A1A1A"/>
          <w:sz w:val="19"/>
          <w:szCs w:val="19"/>
        </w:rPr>
        <w:t xml:space="preserve">Solução de continuidade na junção miotendínea da cabeça medial do gastrocnêmio, com coleção hemática laminar na interface gastrocnêmio-sóleo medindo ..... x ..... mm, compatível com lesão muscular (tennis leg).</w:t>
      </w:r>
    </w:p>
    <w:p>
      <w:pPr>
        <w:pStyle w:val="Standard"/>
        <w:pBdr>
          <w:left w:val="single" w:sz="6" w:space="6" w:color="C4C4C4"/>
        </w:pBdr>
        <w:spacing w:before="0" w:after="45"/>
        <w:ind w:left="200"/>
        <w:textAlignment w:val="baseline"/>
      </w:pPr>
      <w:r>
        <w:rPr>
          <w:b/>
          <w:bCs/>
          <w:color w:val="1A1A1A"/>
          <w:sz w:val="19"/>
          <w:szCs w:val="19"/>
        </w:rPr>
        <w:t xml:space="preserve">Lesão muscular grau I</w:t>
      </w:r>
      <w:r>
        <w:rPr>
          <w:color w:val="C4C4C4"/>
          <w:sz w:val="19"/>
          <w:szCs w:val="19"/>
        </w:rPr>
        <w:t xml:space="preserve">  ·  </w:t>
      </w:r>
      <w:r>
        <w:rPr>
          <w:color w:val="1A1A1A"/>
          <w:sz w:val="19"/>
          <w:szCs w:val="19"/>
        </w:rPr>
        <w:t xml:space="preserve">Área focal de aumento da ecogenicidade e borramento do padrão miofascial no ventre muscular do ....., sem descontinuidade fibrilar, compatível com lesão muscular grau I.</w:t>
      </w:r>
    </w:p>
    <w:p>
      <w:pPr>
        <w:pStyle w:val="Standard"/>
        <w:pBdr>
          <w:left w:val="single" w:sz="6" w:space="6" w:color="C4C4C4"/>
        </w:pBdr>
        <w:spacing w:before="0" w:after="45"/>
        <w:ind w:left="200"/>
        <w:textAlignment w:val="baseline"/>
      </w:pPr>
      <w:r>
        <w:rPr>
          <w:b/>
          <w:bCs/>
          <w:color w:val="1A1A1A"/>
          <w:sz w:val="19"/>
          <w:szCs w:val="19"/>
        </w:rPr>
        <w:t xml:space="preserve">Lesão muscular grau II</w:t>
      </w:r>
      <w:r>
        <w:rPr>
          <w:color w:val="C4C4C4"/>
          <w:sz w:val="19"/>
          <w:szCs w:val="19"/>
        </w:rPr>
        <w:t xml:space="preserve">  ·  </w:t>
      </w:r>
      <w:r>
        <w:rPr>
          <w:color w:val="1A1A1A"/>
          <w:sz w:val="19"/>
          <w:szCs w:val="19"/>
        </w:rPr>
        <w:t xml:space="preserve">Solução de continuidade parcial das fibras musculares do ....., medindo ..... x ..... mm, com coleção hemática de permeio, compatível com lesão muscular grau II.</w:t>
      </w:r>
    </w:p>
    <w:p>
      <w:pPr>
        <w:pStyle w:val="Standard"/>
        <w:pBdr>
          <w:left w:val="single" w:sz="6" w:space="6" w:color="C4C4C4"/>
        </w:pBdr>
        <w:spacing w:before="0" w:after="45"/>
        <w:ind w:left="200"/>
        <w:textAlignment w:val="baseline"/>
      </w:pPr>
      <w:r>
        <w:rPr>
          <w:b/>
          <w:bCs/>
          <w:color w:val="1A1A1A"/>
          <w:sz w:val="19"/>
          <w:szCs w:val="19"/>
        </w:rPr>
        <w:t xml:space="preserve">Lesão muscular grau III</w:t>
      </w:r>
      <w:r>
        <w:rPr>
          <w:color w:val="C4C4C4"/>
          <w:sz w:val="19"/>
          <w:szCs w:val="19"/>
        </w:rPr>
        <w:t xml:space="preserve">  ·  </w:t>
      </w:r>
      <w:r>
        <w:rPr>
          <w:color w:val="1A1A1A"/>
          <w:sz w:val="19"/>
          <w:szCs w:val="19"/>
        </w:rPr>
        <w:t xml:space="preserve">Descontinuidade completa das fibras do ....., com retração dos cotos musculares e coleção hemática interposta, compatível com lesão muscular grau III.</w:t>
      </w:r>
    </w:p>
    <w:p>
      <w:pPr>
        <w:pStyle w:val="Standard"/>
        <w:pBdr>
          <w:left w:val="single" w:sz="6" w:space="6" w:color="C4C4C4"/>
        </w:pBdr>
        <w:spacing w:before="0" w:after="45"/>
        <w:ind w:left="200"/>
        <w:textAlignment w:val="baseline"/>
      </w:pPr>
      <w:r>
        <w:rPr>
          <w:b/>
          <w:bCs/>
          <w:color w:val="1A1A1A"/>
          <w:sz w:val="19"/>
          <w:szCs w:val="19"/>
        </w:rPr>
        <w:t xml:space="preserve">Rotura do plantar delgado</w:t>
      </w:r>
      <w:r>
        <w:rPr>
          <w:color w:val="C4C4C4"/>
          <w:sz w:val="19"/>
          <w:szCs w:val="19"/>
        </w:rPr>
        <w:t xml:space="preserve">  ·  </w:t>
      </w:r>
      <w:r>
        <w:rPr>
          <w:color w:val="1A1A1A"/>
          <w:sz w:val="19"/>
          <w:szCs w:val="19"/>
        </w:rPr>
        <w:t xml:space="preserve">Ausência de visualização do tendão do músculo plantar delgado em sua topografia habitual, com coleção líquida laminar adjacente.</w:t>
      </w:r>
    </w:p>
    <w:p>
      <w:pPr>
        <w:pStyle w:val="Standard"/>
        <w:pBdr>
          <w:left w:val="single" w:sz="6" w:space="6" w:color="C4C4C4"/>
        </w:pBdr>
        <w:spacing w:before="0" w:after="45"/>
        <w:ind w:left="200"/>
        <w:textAlignment w:val="baseline"/>
      </w:pPr>
      <w:r>
        <w:rPr>
          <w:b/>
          <w:bCs/>
          <w:color w:val="1A1A1A"/>
          <w:sz w:val="19"/>
          <w:szCs w:val="19"/>
        </w:rPr>
        <w:t xml:space="preserve">Hematoma</w:t>
      </w:r>
      <w:r>
        <w:rPr>
          <w:color w:val="C4C4C4"/>
          <w:sz w:val="19"/>
          <w:szCs w:val="19"/>
        </w:rPr>
        <w:t xml:space="preserve">  ·  </w:t>
      </w:r>
      <w:r>
        <w:rPr>
          <w:color w:val="1A1A1A"/>
          <w:sz w:val="19"/>
          <w:szCs w:val="19"/>
        </w:rPr>
        <w:t xml:space="preserve">Coleção heterogênea intramuscular medindo ..... x ..... x ..... mm (volume estimado ..... mL), sem fluxo ao Doppler, compatível com hematoma em organização.</w:t>
      </w:r>
    </w:p>
    <w:p>
      <w:pPr>
        <w:pStyle w:val="Standard"/>
        <w:pBdr>
          <w:left w:val="single" w:sz="6" w:space="6" w:color="C4C4C4"/>
        </w:pBdr>
        <w:spacing w:before="0" w:after="45"/>
        <w:ind w:left="200"/>
        <w:textAlignment w:val="baseline"/>
      </w:pPr>
      <w:r>
        <w:rPr>
          <w:b/>
          <w:bCs/>
          <w:color w:val="1A1A1A"/>
          <w:sz w:val="19"/>
          <w:szCs w:val="19"/>
        </w:rPr>
        <w:t xml:space="preserve">Hérnia muscular fascial</w:t>
      </w:r>
      <w:r>
        <w:rPr>
          <w:color w:val="C4C4C4"/>
          <w:sz w:val="19"/>
          <w:szCs w:val="19"/>
        </w:rPr>
        <w:t xml:space="preserve">  ·  </w:t>
      </w:r>
      <w:r>
        <w:rPr>
          <w:color w:val="1A1A1A"/>
          <w:sz w:val="19"/>
          <w:szCs w:val="19"/>
        </w:rPr>
        <w:t xml:space="preserve">Solução de continuidade focal da fáscia, medindo ..... mm, com herniação do ventre muscular do ..... durante a contração.</w:t>
      </w:r>
    </w:p>
    <w:p>
      <w:pPr>
        <w:pStyle w:val="Standard"/>
        <w:pBdr>
          <w:left w:val="single" w:sz="6" w:space="6" w:color="C4C4C4"/>
        </w:pBdr>
        <w:spacing w:before="0" w:after="45"/>
        <w:ind w:left="200"/>
        <w:textAlignment w:val="baseline"/>
      </w:pPr>
      <w:r>
        <w:rPr>
          <w:b/>
          <w:bCs/>
          <w:color w:val="1A1A1A"/>
          <w:sz w:val="19"/>
          <w:szCs w:val="19"/>
        </w:rPr>
        <w:t xml:space="preserve">Atrofia muscular</w:t>
      </w:r>
      <w:r>
        <w:rPr>
          <w:color w:val="C4C4C4"/>
          <w:sz w:val="19"/>
          <w:szCs w:val="19"/>
        </w:rPr>
        <w:t xml:space="preserve">  ·  </w:t>
      </w:r>
      <w:r>
        <w:rPr>
          <w:color w:val="1A1A1A"/>
          <w:sz w:val="19"/>
          <w:szCs w:val="19"/>
        </w:rPr>
        <w:t xml:space="preserve">Redução volumétrica e aumento difuso da ecogenicidade do ventre muscular do ....., compatível com atrofia.</w:t>
      </w:r>
    </w:p>
    <w:p>
      <w:pPr>
        <w:pStyle w:val="Standard"/>
        <w:keepNext/>
        <w:keepLines/>
        <w:spacing w:before="110" w:after="45"/>
        <w:textAlignment w:val="baseline"/>
      </w:pPr>
      <w:r>
        <w:rPr>
          <w:b/>
          <w:bCs/>
          <w:color w:val="3F7A5E"/>
          <w:spacing w:val="25"/>
          <w:sz w:val="19"/>
          <w:szCs w:val="19"/>
        </w:rPr>
        <w:t xml:space="preserve">Item 3 — Junções miotendíneas</w:t>
      </w:r>
    </w:p>
    <w:p>
      <w:pPr>
        <w:pStyle w:val="Standard"/>
        <w:pBdr>
          <w:left w:val="single" w:sz="6" w:space="6" w:color="C4C4C4"/>
        </w:pBdr>
        <w:spacing w:before="0" w:after="45"/>
        <w:ind w:left="200"/>
        <w:textAlignment w:val="baseline"/>
      </w:pPr>
      <w:r>
        <w:rPr>
          <w:b/>
          <w:bCs/>
          <w:color w:val="1A1A1A"/>
          <w:sz w:val="19"/>
          <w:szCs w:val="19"/>
        </w:rPr>
        <w:t xml:space="preserve">Lesão miotendínea</w:t>
      </w:r>
      <w:r>
        <w:rPr>
          <w:color w:val="C4C4C4"/>
          <w:sz w:val="19"/>
          <w:szCs w:val="19"/>
        </w:rPr>
        <w:t xml:space="preserve">  ·  </w:t>
      </w:r>
      <w:r>
        <w:rPr>
          <w:color w:val="1A1A1A"/>
          <w:sz w:val="19"/>
          <w:szCs w:val="19"/>
        </w:rPr>
        <w:t xml:space="preserve">Descontinuidade fibrilar na junção miotendínea do ....., medindo ..... x ..... mm, com lâmina líquida adjacente.</w:t>
      </w:r>
    </w:p>
    <w:p>
      <w:pPr>
        <w:pStyle w:val="Standard"/>
        <w:keepNext/>
        <w:keepLines/>
        <w:spacing w:before="110" w:after="45"/>
        <w:textAlignment w:val="baseline"/>
      </w:pPr>
      <w:r>
        <w:rPr>
          <w:b/>
          <w:bCs/>
          <w:color w:val="3F7A5E"/>
          <w:spacing w:val="25"/>
          <w:sz w:val="19"/>
          <w:szCs w:val="19"/>
        </w:rPr>
        <w:t xml:space="preserve">Item 4 — Tendão calcâneo</w:t>
      </w:r>
    </w:p>
    <w:p>
      <w:pPr>
        <w:pStyle w:val="Standard"/>
        <w:pBdr>
          <w:left w:val="single" w:sz="6" w:space="6" w:color="C4C4C4"/>
        </w:pBdr>
        <w:spacing w:before="0" w:after="45"/>
        <w:ind w:left="200"/>
        <w:textAlignment w:val="baseline"/>
      </w:pPr>
      <w:r>
        <w:rPr>
          <w:b/>
          <w:bCs/>
          <w:color w:val="1A1A1A"/>
          <w:sz w:val="19"/>
          <w:szCs w:val="19"/>
        </w:rPr>
        <w:t xml:space="preserve">Tendinopatia</w:t>
      </w:r>
      <w:r>
        <w:rPr>
          <w:color w:val="C4C4C4"/>
          <w:sz w:val="19"/>
          <w:szCs w:val="19"/>
        </w:rPr>
        <w:t xml:space="preserve">  ·  </w:t>
      </w:r>
      <w:r>
        <w:rPr>
          <w:color w:val="1A1A1A"/>
          <w:sz w:val="19"/>
          <w:szCs w:val="19"/>
        </w:rPr>
        <w:t xml:space="preserve">Tendão calcâneo espessado em seu terço médio (..... mm no sentido ântero-posterior), com padrão fibrilar heterogêneo e neovascularização ao estudo Doppler, compatível com tendinopatia.</w:t>
      </w:r>
    </w:p>
    <w:p>
      <w:pPr>
        <w:pStyle w:val="Standard"/>
        <w:pBdr>
          <w:left w:val="single" w:sz="6" w:space="6" w:color="C4C4C4"/>
        </w:pBdr>
        <w:spacing w:before="0" w:after="45"/>
        <w:ind w:left="200"/>
        <w:textAlignment w:val="baseline"/>
      </w:pPr>
      <w:r>
        <w:rPr>
          <w:b/>
          <w:bCs/>
          <w:color w:val="1A1A1A"/>
          <w:sz w:val="19"/>
          <w:szCs w:val="19"/>
        </w:rPr>
        <w:t xml:space="preserve">Rotura parcial</w:t>
      </w:r>
      <w:r>
        <w:rPr>
          <w:color w:val="C4C4C4"/>
          <w:sz w:val="19"/>
          <w:szCs w:val="19"/>
        </w:rPr>
        <w:t xml:space="preserve">  ·  </w:t>
      </w:r>
      <w:r>
        <w:rPr>
          <w:color w:val="1A1A1A"/>
          <w:sz w:val="19"/>
          <w:szCs w:val="19"/>
        </w:rPr>
        <w:t xml:space="preserve">Área hipo/anecoica intrassubstancial no tendão calcâneo, medindo ..... mm, compatível com rotura parcial.</w:t>
      </w:r>
    </w:p>
    <w:p>
      <w:pPr>
        <w:pStyle w:val="Standard"/>
        <w:pBdr>
          <w:left w:val="single" w:sz="6" w:space="6" w:color="C4C4C4"/>
        </w:pBdr>
        <w:spacing w:before="0" w:after="45"/>
        <w:ind w:left="200"/>
        <w:textAlignment w:val="baseline"/>
      </w:pPr>
      <w:r>
        <w:rPr>
          <w:b/>
          <w:bCs/>
          <w:color w:val="1A1A1A"/>
          <w:sz w:val="19"/>
          <w:szCs w:val="19"/>
        </w:rPr>
        <w:t xml:space="preserve">Rotura completa</w:t>
      </w:r>
      <w:r>
        <w:rPr>
          <w:color w:val="C4C4C4"/>
          <w:sz w:val="19"/>
          <w:szCs w:val="19"/>
        </w:rPr>
        <w:t xml:space="preserve">  ·  </w:t>
      </w:r>
      <w:r>
        <w:rPr>
          <w:color w:val="1A1A1A"/>
          <w:sz w:val="19"/>
          <w:szCs w:val="19"/>
        </w:rPr>
        <w:t xml:space="preserve">Descontinuidade completa das fibras do tendão calcâneo a ..... mm da inserção calcânea, com gap de ..... mm em repouso, compatível com rotura total.</w:t>
      </w:r>
    </w:p>
    <w:p>
      <w:pPr>
        <w:pStyle w:val="Standard"/>
        <w:keepNext/>
        <w:keepLines/>
        <w:spacing w:before="110" w:after="45"/>
        <w:textAlignment w:val="baseline"/>
      </w:pPr>
      <w:r>
        <w:rPr>
          <w:b/>
          <w:bCs/>
          <w:color w:val="3F7A5E"/>
          <w:spacing w:val="25"/>
          <w:sz w:val="19"/>
          <w:szCs w:val="19"/>
        </w:rPr>
        <w:t xml:space="preserve">Item 5 — Fossa poplítea e estruturas vasculares</w:t>
      </w:r>
    </w:p>
    <w:p>
      <w:pPr>
        <w:pStyle w:val="Standard"/>
        <w:pBdr>
          <w:left w:val="single" w:sz="6" w:space="6" w:color="C4C4C4"/>
        </w:pBdr>
        <w:spacing w:before="0" w:after="45"/>
        <w:ind w:left="200"/>
        <w:textAlignment w:val="baseline"/>
      </w:pPr>
      <w:r>
        <w:rPr>
          <w:b/>
          <w:bCs/>
          <w:color w:val="1A1A1A"/>
          <w:sz w:val="19"/>
          <w:szCs w:val="19"/>
        </w:rPr>
        <w:t xml:space="preserve">Cisto de Baker roto</w:t>
      </w:r>
      <w:r>
        <w:rPr>
          <w:color w:val="C4C4C4"/>
          <w:sz w:val="19"/>
          <w:szCs w:val="19"/>
        </w:rPr>
        <w:t xml:space="preserve">  ·  </w:t>
      </w:r>
      <w:r>
        <w:rPr>
          <w:color w:val="1A1A1A"/>
          <w:sz w:val="19"/>
          <w:szCs w:val="19"/>
        </w:rPr>
        <w:t xml:space="preserve">Coleção líquida laminar dissecando os planos musculares da panturrilha, em continuidade com cisto poplíteo, compatível com rotura do cisto.</w:t>
      </w:r>
    </w:p>
    <w:p>
      <w:pPr>
        <w:pStyle w:val="Standard"/>
        <w:pBdr>
          <w:left w:val="single" w:sz="6" w:space="6" w:color="C4C4C4"/>
        </w:pBdr>
        <w:spacing w:before="0" w:after="45"/>
        <w:ind w:left="200"/>
        <w:textAlignment w:val="baseline"/>
      </w:pPr>
      <w:r>
        <w:rPr>
          <w:b/>
          <w:bCs/>
          <w:color w:val="1A1A1A"/>
          <w:sz w:val="19"/>
          <w:szCs w:val="19"/>
        </w:rPr>
        <w:t xml:space="preserve">Estudo venoso normal</w:t>
      </w:r>
      <w:r>
        <w:rPr>
          <w:color w:val="C4C4C4"/>
          <w:sz w:val="19"/>
          <w:szCs w:val="19"/>
        </w:rPr>
        <w:t xml:space="preserve">  ·  </w:t>
      </w:r>
      <w:r>
        <w:rPr>
          <w:color w:val="1A1A1A"/>
          <w:sz w:val="19"/>
          <w:szCs w:val="19"/>
        </w:rPr>
        <w:t xml:space="preserve">Ao estudo compressivo, as veias profundas visualizadas apresentam-se totalmente compressíveis, com fluxo fásico ao estudo Doppler.</w:t>
      </w:r>
    </w:p>
    <w:p>
      <w:pPr>
        <w:pStyle w:val="Standard"/>
        <w:pBdr>
          <w:left w:val="single" w:sz="6" w:space="6" w:color="C4C4C4"/>
        </w:pBdr>
        <w:spacing w:before="0" w:after="45"/>
        <w:ind w:left="200"/>
        <w:textAlignment w:val="baseline"/>
      </w:pPr>
      <w:r>
        <w:rPr>
          <w:b/>
          <w:bCs/>
          <w:color w:val="1A1A1A"/>
          <w:sz w:val="19"/>
          <w:szCs w:val="19"/>
        </w:rPr>
        <w:t xml:space="preserve">Trombose venosa profunda</w:t>
      </w:r>
      <w:r>
        <w:rPr>
          <w:color w:val="C4C4C4"/>
          <w:sz w:val="19"/>
          <w:szCs w:val="19"/>
        </w:rPr>
        <w:t xml:space="preserve">  ·  </w:t>
      </w:r>
      <w:r>
        <w:rPr>
          <w:color w:val="1A1A1A"/>
          <w:sz w:val="19"/>
          <w:szCs w:val="19"/>
        </w:rPr>
        <w:t xml:space="preserve">Veia ..... não compressível, com conteúdo ecogênico endoluminal e ausência de fluxo ao estudo Doppler, compatível com trombose venosa profunda.</w:t>
      </w:r>
    </w:p>
    <w:p>
      <w:pPr>
        <w:pStyle w:val="Standard"/>
        <w:pBdr>
          <w:left w:val="single" w:sz="6" w:space="6" w:color="C4C4C4"/>
        </w:pBdr>
        <w:spacing w:before="0" w:after="45"/>
        <w:ind w:left="200"/>
        <w:textAlignment w:val="baseline"/>
      </w:pPr>
      <w:r>
        <w:rPr>
          <w:b/>
          <w:bCs/>
          <w:color w:val="1A1A1A"/>
          <w:sz w:val="19"/>
          <w:szCs w:val="19"/>
        </w:rPr>
        <w:t xml:space="preserve">Aneurisma poplíteo</w:t>
      </w:r>
      <w:r>
        <w:rPr>
          <w:color w:val="C4C4C4"/>
          <w:sz w:val="19"/>
          <w:szCs w:val="19"/>
        </w:rPr>
        <w:t xml:space="preserve">  ·  </w:t>
      </w:r>
      <w:r>
        <w:rPr>
          <w:color w:val="1A1A1A"/>
          <w:sz w:val="19"/>
          <w:szCs w:val="19"/>
        </w:rPr>
        <w:t xml:space="preserve">Dilatação fusiforme da artéria poplítea, medindo ..... mm de diâmetro.</w:t>
      </w:r>
    </w:p>
    <w:p>
      <w:pPr>
        <w:pStyle w:val="Standard"/>
        <w:keepNext/>
        <w:keepLines/>
        <w:spacing w:before="110" w:after="45"/>
        <w:textAlignment w:val="baseline"/>
      </w:pPr>
      <w:r>
        <w:rPr>
          <w:b/>
          <w:bCs/>
          <w:color w:val="3F7A5E"/>
          <w:spacing w:val="25"/>
          <w:sz w:val="19"/>
          <w:szCs w:val="19"/>
        </w:rPr>
        <w:t xml:space="preserve">Item 6 — Formações sólidas e coleções / superfícies ósseas</w:t>
      </w:r>
    </w:p>
    <w:p>
      <w:pPr>
        <w:pStyle w:val="Standard"/>
        <w:pBdr>
          <w:left w:val="single" w:sz="6" w:space="6" w:color="C4C4C4"/>
        </w:pBdr>
        <w:spacing w:before="0" w:after="45"/>
        <w:ind w:left="200"/>
        <w:textAlignment w:val="baseline"/>
      </w:pPr>
      <w:r>
        <w:rPr>
          <w:b/>
          <w:bCs/>
          <w:color w:val="1A1A1A"/>
          <w:sz w:val="19"/>
          <w:szCs w:val="19"/>
        </w:rPr>
        <w:t xml:space="preserve">Coleção / abscesso</w:t>
      </w:r>
      <w:r>
        <w:rPr>
          <w:color w:val="C4C4C4"/>
          <w:sz w:val="19"/>
          <w:szCs w:val="19"/>
        </w:rPr>
        <w:t xml:space="preserve">  ·  </w:t>
      </w:r>
      <w:r>
        <w:rPr>
          <w:color w:val="1A1A1A"/>
          <w:sz w:val="19"/>
          <w:szCs w:val="19"/>
        </w:rPr>
        <w:t xml:space="preserve">Coleção de conteúdo espesso com ecos móveis de permeio, medindo ..... x ..... x ..... mm, com hiperemia periférica ao Doppler.</w:t>
      </w:r>
    </w:p>
    <w:p>
      <w:pPr>
        <w:pStyle w:val="Standard"/>
        <w:pBdr>
          <w:left w:val="single" w:sz="6" w:space="6" w:color="C4C4C4"/>
        </w:pBdr>
        <w:spacing w:before="0" w:after="45"/>
        <w:ind w:left="200"/>
        <w:textAlignment w:val="baseline"/>
      </w:pPr>
      <w:r>
        <w:rPr>
          <w:b/>
          <w:bCs/>
          <w:color w:val="1A1A1A"/>
          <w:sz w:val="19"/>
          <w:szCs w:val="19"/>
        </w:rPr>
        <w:t xml:space="preserve">Tumoração sólida</w:t>
      </w:r>
      <w:r>
        <w:rPr>
          <w:color w:val="C4C4C4"/>
          <w:sz w:val="19"/>
          <w:szCs w:val="19"/>
        </w:rPr>
        <w:t xml:space="preserve">  ·  </w:t>
      </w:r>
      <w:r>
        <w:rPr>
          <w:color w:val="1A1A1A"/>
          <w:sz w:val="19"/>
          <w:szCs w:val="19"/>
        </w:rPr>
        <w:t xml:space="preserve">Formação sólida ....., de contornos ....., medindo ..... x ..... x ..... mm, com vascularização ..... ao Doppler — sugere-se complementação com ressonância magnética.</w:t>
      </w:r>
    </w:p>
    <w:p>
      <w:pPr>
        <w:pStyle w:val="Standard"/>
        <w:pBdr>
          <w:left w:val="single" w:sz="6" w:space="6" w:color="C4C4C4"/>
        </w:pBdr>
        <w:spacing w:before="0" w:after="45"/>
        <w:ind w:left="200"/>
        <w:textAlignment w:val="baseline"/>
      </w:pPr>
      <w:r>
        <w:rPr>
          <w:b/>
          <w:bCs/>
          <w:color w:val="1A1A1A"/>
          <w:sz w:val="19"/>
          <w:szCs w:val="19"/>
        </w:rPr>
        <w:t xml:space="preserve">Fratura de estresse</w:t>
      </w:r>
      <w:r>
        <w:rPr>
          <w:color w:val="C4C4C4"/>
          <w:sz w:val="19"/>
          <w:szCs w:val="19"/>
        </w:rPr>
        <w:t xml:space="preserve">  ·  </w:t>
      </w:r>
      <w:r>
        <w:rPr>
          <w:color w:val="1A1A1A"/>
          <w:sz w:val="19"/>
          <w:szCs w:val="19"/>
        </w:rPr>
        <w:t xml:space="preserve">Irregularidade e espessamento periosteal na face ..... da tíbia, com hiperemia adjacente ao Doppler, sugestivo de fratura de estresse — sugere-se correlação com radiografia e/ou ressonância magnética.</w:t>
      </w:r>
    </w:p>
    <w:p>
      <w:pPr>
        <w:pStyle w:val="Standard"/>
        <w:pBdr>
          <w:left w:val="single" w:sz="6" w:space="6" w:color="C4C4C4"/>
        </w:pBdr>
        <w:spacing w:before="0" w:after="45"/>
        <w:ind w:left="200"/>
        <w:textAlignment w:val="baseline"/>
      </w:pPr>
      <w:r>
        <w:rPr>
          <w:b/>
          <w:bCs/>
          <w:color w:val="1A1A1A"/>
          <w:sz w:val="19"/>
          <w:szCs w:val="19"/>
        </w:rPr>
        <w:t xml:space="preserve">Reação periosteal difusa</w:t>
      </w:r>
      <w:r>
        <w:rPr>
          <w:color w:val="C4C4C4"/>
          <w:sz w:val="19"/>
          <w:szCs w:val="19"/>
        </w:rPr>
        <w:t xml:space="preserve">  ·  </w:t>
      </w:r>
      <w:r>
        <w:rPr>
          <w:color w:val="1A1A1A"/>
          <w:sz w:val="19"/>
          <w:szCs w:val="19"/>
        </w:rPr>
        <w:t xml:space="preserve">Espessamento periosteal difuso na face póstero-medial da tíbia, achado que pode ser observado na síndrome do estresse tibial medial.</w:t>
      </w:r>
    </w:p>
    <w:sectPr>
      <w:headerReference w:type="default" r:id="rId8"/>
      <w:footerReference w:type="default" r:id="rId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9E5659" w14:textId="77777777" w:rsidR="00FE74FB" w:rsidRDefault="00FE74FB" w:rsidP="00BE1E7E">
      <w:pPr>
        <w:spacing w:after="0" w:line="240" w:lineRule="auto"/>
      </w:pPr>
      <w:r>
        <w:separator/>
      </w:r>
    </w:p>
  </w:endnote>
  <w:endnote w:type="continuationSeparator" w:id="0">
    <w:p w14:paraId="0CC8512D" w14:textId="77777777" w:rsidR="00FE74FB" w:rsidRDefault="00FE74FB" w:rsidP="00BE1E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agona Book">
    <w:charset w:val="00"/>
    <w:family w:val="roman"/>
    <w:pitch w:val="variable"/>
    <w:sig w:usb0="8000002F" w:usb1="0000000A" w:usb2="00000000" w:usb3="00000000" w:csb0="00000001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494799" w14:textId="7BC1C690" w:rsidR="0060735B" w:rsidRPr="007E0A6F" w:rsidRDefault="0060735B" w:rsidP="0060735B">
    <w:pPr>
      <w:pStyle w:val="Standard"/>
      <w:jc w:val="center"/>
      <w:textAlignment w:val="baseline"/>
      <w:rPr>
        <w:b/>
        <w:bCs/>
      </w:rPr>
    </w:pPr>
    <w:r w:rsidRPr="007E0A6F">
      <w:rPr>
        <w:b/>
        <w:bCs/>
        <w:noProof/>
      </w:rPr>
      <w:drawing>
        <wp:inline distT="0" distB="0" distL="0" distR="0" wp14:anchorId="2CA5353A" wp14:editId="58F7BC06">
          <wp:extent cx="1950720" cy="1272960"/>
          <wp:effectExtent l="0" t="0" r="0" b="0"/>
          <wp:docPr id="2004635648" name="Imagem 2" descr="Diagrama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04635648" name="Imagem 2" descr="Diagrama&#10;&#10;O conteúdo gerado por IA pode estar incorreto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50720" cy="12729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>
    <w:pPr>
      <w:pStyle w:val="Standard"/>
      <w:pBdr>
        <w:bottom w:val="single" w:sz="6" w:space="1" w:color="9A9A9A"/>
      </w:pBdr>
      <w:ind w:left="2600" w:right="2600"/>
      <w:jc w:val="center"/>
    </w:pPr>
  </w:p>
  <w:p w14:paraId="3D742A0F" w14:textId="32F516BC" w:rsidR="0060735B" w:rsidRPr="007E0A6F" w:rsidRDefault="0060735B" w:rsidP="0060735B">
    <w:pPr>
      <w:pStyle w:val="Standard"/>
      <w:jc w:val="center"/>
      <w:textAlignment w:val="baseline"/>
      <w:rPr>
        <w:b/>
        <w:bCs/>
      </w:rPr>
    </w:pPr>
  </w:p>
  <w:p w14:paraId="2C7E4FE7" w14:textId="77777777" w:rsidR="0060735B" w:rsidRPr="007E0A6F" w:rsidRDefault="0060735B" w:rsidP="0060735B">
    <w:pPr>
      <w:pStyle w:val="Standard"/>
      <w:jc w:val="center"/>
      <w:textAlignment w:val="baseline"/>
      <w:rPr>
        <w:b/>
        <w:bCs/>
      </w:rPr>
    </w:pPr>
    <w:proofErr w:type="spellStart"/>
    <w:r w:rsidRPr="007E0A6F">
      <w:rPr>
        <w:b/>
        <w:bCs/>
        <w:color w:val="1A1A1A"/>
        <w:spacing w:val="30"/>
        <w:sz w:val="20"/>
        <w:szCs w:val="20"/>
      </w:rPr>
      <w:t>Dr</w:t>
    </w:r>
    <w:proofErr w:type="spellEnd"/>
    <w:r w:rsidRPr="007E0A6F">
      <w:rPr>
        <w:b/>
        <w:bCs/>
        <w:color w:val="1A1A1A"/>
        <w:spacing w:val="30"/>
        <w:sz w:val="20"/>
        <w:szCs w:val="20"/>
      </w:rPr>
      <w:t xml:space="preserve"> IAN ALMEIDA FRAGALLI</w:t>
    </w:r>
  </w:p>
  <w:p w14:paraId="04CC0B37" w14:textId="77777777" w:rsidR="0060735B" w:rsidRPr="007E0A6F" w:rsidRDefault="0060735B" w:rsidP="0060735B">
    <w:pPr>
      <w:pStyle w:val="Standard"/>
      <w:jc w:val="center"/>
      <w:textAlignment w:val="baseline"/>
      <w:rPr>
        <w:b/>
        <w:bCs/>
      </w:rPr>
    </w:pPr>
    <w:r w:rsidRPr="007E0A6F">
      <w:rPr>
        <w:color w:val="595959"/>
        <w:spacing w:val="20"/>
        <w:sz w:val="18"/>
        <w:szCs w:val="18"/>
      </w:rPr>
      <w:t>CRM 202.297</w:t>
    </w:r>
  </w:p>
  <w:p w14:paraId="22D6FC99" w14:textId="77777777" w:rsidR="0060735B" w:rsidRPr="007E0A6F" w:rsidRDefault="0060735B" w:rsidP="0060735B">
    <w:pPr>
      <w:pStyle w:val="Standard"/>
      <w:jc w:val="center"/>
      <w:textAlignment w:val="baseline"/>
      <w:rPr>
        <w:b/>
        <w:bCs/>
      </w:rPr>
    </w:pPr>
    <w:r w:rsidRPr="007E0A6F">
      <w:rPr>
        <w:color w:val="595959"/>
        <w:spacing w:val="20"/>
        <w:sz w:val="18"/>
        <w:szCs w:val="18"/>
      </w:rPr>
      <w:t>TEOT 15.936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9F6960" w14:textId="77777777" w:rsidR="00FE74FB" w:rsidRDefault="00FE74FB" w:rsidP="00BE1E7E">
      <w:pPr>
        <w:spacing w:after="0" w:line="240" w:lineRule="auto"/>
      </w:pPr>
      <w:r>
        <w:separator/>
      </w:r>
    </w:p>
  </w:footnote>
  <w:footnote w:type="continuationSeparator" w:id="0">
    <w:p w14:paraId="0D3A5083" w14:textId="77777777" w:rsidR="00FE74FB" w:rsidRDefault="00FE74FB" w:rsidP="00BE1E7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FD51B8" w14:textId="57683278" w:rsidR="00BE1E7E" w:rsidRPr="00BE1E7E" w:rsidRDefault="00BE1E7E" w:rsidP="00BE1E7E">
    <w:pPr>
      <w:pStyle w:val="Ttulo1"/>
      <w:rPr>
        <w:rFonts w:ascii="Sagona Book" w:hAnsi="Sagona Book"/>
        <w:lang w:val="pt-BR"/>
      </w:rPr>
    </w:pPr>
    <w:r>
      <w:rPr>
        <w:noProof/>
      </w:rPr>
      <w:drawing>
        <wp:anchor distT="0" distB="0" distL="114300" distR="114300" simplePos="0" relativeHeight="251661312" behindDoc="0" locked="0" layoutInCell="1" allowOverlap="1" wp14:anchorId="6D24E7A9" wp14:editId="7E19280F">
          <wp:simplePos x="0" y="0"/>
          <wp:positionH relativeFrom="margin">
            <wp:posOffset>4993005</wp:posOffset>
          </wp:positionH>
          <wp:positionV relativeFrom="paragraph">
            <wp:posOffset>83820</wp:posOffset>
          </wp:positionV>
          <wp:extent cx="1074420" cy="1074420"/>
          <wp:effectExtent l="0" t="0" r="0" b="0"/>
          <wp:wrapNone/>
          <wp:docPr id="1418510059" name="Imagem 1" descr="Inekcije hijaluronske kiseline – Div Lek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Inekcije hijaluronske kiseline – Div Lek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6123" t="55508" r="50562" b="8639"/>
                  <a:stretch/>
                </pic:blipFill>
                <pic:spPr bwMode="auto">
                  <a:xfrm>
                    <a:off x="0" y="0"/>
                    <a:ext cx="1074420" cy="107442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allowOverlap="1" wp14:anchorId="57D1E8E7" wp14:editId="62673F03">
          <wp:simplePos x="0" y="0"/>
          <wp:positionH relativeFrom="column">
            <wp:posOffset>-607695</wp:posOffset>
          </wp:positionH>
          <wp:positionV relativeFrom="paragraph">
            <wp:posOffset>175260</wp:posOffset>
          </wp:positionV>
          <wp:extent cx="998220" cy="990600"/>
          <wp:effectExtent l="0" t="0" r="0" b="0"/>
          <wp:wrapNone/>
          <wp:docPr id="1002472117" name="Imagem 1" descr="Ortopedia | Brands of the World™ | Download vector logos and logotype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Ortopedia | Brands of the World™ | Download vector logos and logotypes"/>
                  <pic:cNvPicPr>
                    <a:picLocks noChangeAspect="1" noChangeArrowheads="1"/>
                  </pic:cNvPicPr>
                </pic:nvPicPr>
                <pic:blipFill rotWithShape="1"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5921" t="7896" r="7895" b="6579"/>
                  <a:stretch/>
                </pic:blipFill>
                <pic:spPr bwMode="auto">
                  <a:xfrm>
                    <a:off x="0" y="0"/>
                    <a:ext cx="998220" cy="99060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BE1E7E">
      <w:rPr>
        <w:rFonts w:ascii="Sagona Book" w:hAnsi="Sagona Book"/>
        <w:lang w:val="pt-BR" w:bidi="pt-BR"/>
      </w:rPr>
      <w:t>Dr. Ian Almeida Fragalli</w:t>
    </w:r>
  </w:p>
  <w:p w14:paraId="3034B784" w14:textId="77777777" w:rsidR="00BE1E7E" w:rsidRDefault="00BE1E7E" w:rsidP="00BE1E7E">
    <w:pPr>
      <w:pStyle w:val="Standard"/>
      <w:tabs>
        <w:tab w:val="center" w:pos="4252"/>
        <w:tab w:val="right" w:pos="8504"/>
      </w:tabs>
      <w:jc w:val="center"/>
      <w:rPr>
        <w:rFonts w:ascii="Times New Roman" w:eastAsia="Times New Roman" w:hAnsi="Times New Roman" w:cs="Times New Roman"/>
        <w:i/>
        <w:color w:val="auto"/>
      </w:rPr>
    </w:pPr>
    <w:r>
      <w:rPr>
        <w:rFonts w:ascii="Times New Roman" w:eastAsia="Times New Roman" w:hAnsi="Times New Roman" w:cs="Times New Roman"/>
        <w:i/>
        <w:color w:val="auto"/>
      </w:rPr>
      <w:t>Membro da Sociedade Brasileira de Tratamento por Ondas de Choque</w:t>
    </w:r>
  </w:p>
  <w:p w14:paraId="71711B37" w14:textId="7604110D" w:rsidR="00BE1E7E" w:rsidRDefault="00BE1E7E" w:rsidP="00BE1E7E">
    <w:pPr>
      <w:pStyle w:val="Standard"/>
      <w:tabs>
        <w:tab w:val="center" w:pos="4252"/>
        <w:tab w:val="right" w:pos="8504"/>
      </w:tabs>
      <w:jc w:val="center"/>
      <w:rPr>
        <w:rFonts w:ascii="Times New Roman" w:eastAsia="Times New Roman" w:hAnsi="Times New Roman" w:cs="Times New Roman"/>
        <w:i/>
        <w:color w:val="auto"/>
      </w:rPr>
    </w:pPr>
    <w:r>
      <w:rPr>
        <w:rFonts w:ascii="Times New Roman" w:eastAsia="Times New Roman" w:hAnsi="Times New Roman" w:cs="Times New Roman"/>
        <w:i/>
        <w:color w:val="auto"/>
      </w:rPr>
      <w:t>Membro Titular da Sociedade Brasileira de Ortopedia e Traumatologia</w:t>
    </w:r>
  </w:p>
  <w:p w14:paraId="1B2E0C23" w14:textId="69AE53D6" w:rsidR="00BE1E7E" w:rsidRDefault="00BE1E7E" w:rsidP="00BE1E7E">
    <w:pPr>
      <w:pStyle w:val="Standard"/>
      <w:tabs>
        <w:tab w:val="center" w:pos="4252"/>
        <w:tab w:val="right" w:pos="8504"/>
      </w:tabs>
      <w:jc w:val="center"/>
      <w:rPr>
        <w:rFonts w:ascii="Times New Roman" w:eastAsia="Times New Roman" w:hAnsi="Times New Roman" w:cs="Times New Roman"/>
        <w:i/>
        <w:color w:val="auto"/>
      </w:rPr>
    </w:pPr>
    <w:r>
      <w:rPr>
        <w:rFonts w:ascii="Times New Roman" w:eastAsia="Times New Roman" w:hAnsi="Times New Roman" w:cs="Times New Roman"/>
        <w:i/>
        <w:color w:val="auto"/>
      </w:rPr>
      <w:t>Especialista em Cirurgia e Tratamentos de Pé e Tornozelo</w:t>
    </w:r>
  </w:p>
  <w:p w14:paraId="509457A2" w14:textId="02A79ACF" w:rsidR="00BE1E7E" w:rsidRDefault="003440B8" w:rsidP="00BE1E7E">
    <w:pPr>
      <w:pStyle w:val="Standard"/>
      <w:tabs>
        <w:tab w:val="center" w:pos="4252"/>
        <w:tab w:val="right" w:pos="8504"/>
      </w:tabs>
      <w:jc w:val="center"/>
      <w:rPr>
        <w:rFonts w:ascii="Times New Roman" w:eastAsia="Times New Roman" w:hAnsi="Times New Roman" w:cs="Times New Roman"/>
        <w:i/>
        <w:color w:val="auto"/>
      </w:rPr>
    </w:pPr>
    <w:r>
      <w:rPr>
        <w:rFonts w:ascii="Times New Roman" w:eastAsia="Times New Roman" w:hAnsi="Times New Roman" w:cs="Times New Roman"/>
        <w:i/>
        <w:color w:val="auto"/>
      </w:rPr>
      <w:t>Intervenção em Dor e Medicina Regenerativa</w:t>
    </w:r>
  </w:p>
  <w:p w14:paraId="159CD38F" w14:textId="53EB7EC4" w:rsidR="00BE1E7E" w:rsidRDefault="0060735B" w:rsidP="00BE1E7E">
    <w:pPr>
      <w:pStyle w:val="Cabealho"/>
      <w:jc w:val="center"/>
    </w:pPr>
    <w:r>
      <w:rPr>
        <w:rFonts w:ascii="Franklin Gothic Book" w:hAnsi="Franklin Gothic Book"/>
        <w:noProof/>
      </w:rPr>
      <w:drawing>
        <wp:anchor distT="0" distB="0" distL="114300" distR="114300" simplePos="0" relativeHeight="251662336" behindDoc="1" locked="0" layoutInCell="1" allowOverlap="1" wp14:anchorId="00C06142" wp14:editId="67C46E5B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486400" cy="1481138"/>
          <wp:effectExtent l="0" t="0" r="0" b="3810"/>
          <wp:wrapNone/>
          <wp:docPr id="601113270" name="Imagem 1" descr="Uma imagem contendo nome da empresa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1113270" name="Imagem 1" descr="Uma imagem contendo nome da empresa&#10;&#10;O conteúdo gerado por IA pode estar incorreto.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486400" cy="148113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Times New Roman" w:eastAsia="Times New Roman" w:hAnsi="Times New Roman" w:cs="Times New Roman"/>
        <w:i/>
      </w:rPr>
      <w:t>C</w:t>
    </w:r>
    <w:r w:rsidR="00BE1E7E">
      <w:rPr>
        <w:rFonts w:ascii="Times New Roman" w:eastAsia="Times New Roman" w:hAnsi="Times New Roman" w:cs="Times New Roman"/>
        <w:i/>
      </w:rPr>
      <w:t>RM</w:t>
    </w:r>
    <w:r w:rsidR="007E0A6F">
      <w:rPr>
        <w:rFonts w:ascii="Times New Roman" w:eastAsia="Times New Roman" w:hAnsi="Times New Roman" w:cs="Times New Roman"/>
        <w:i/>
      </w:rPr>
      <w:t>SP</w:t>
    </w:r>
    <w:r w:rsidR="00BE1E7E">
      <w:rPr>
        <w:rFonts w:ascii="Times New Roman" w:eastAsia="Times New Roman" w:hAnsi="Times New Roman" w:cs="Times New Roman"/>
        <w:i/>
      </w:rPr>
      <w:t xml:space="preserve"> </w:t>
    </w:r>
    <w:r w:rsidR="00B76575">
      <w:rPr>
        <w:rFonts w:ascii="Times New Roman" w:eastAsia="Times New Roman" w:hAnsi="Times New Roman" w:cs="Times New Roman"/>
        <w:i/>
      </w:rPr>
      <w:t>202.297</w:t>
    </w:r>
    <w:r w:rsidR="00BE1E7E">
      <w:rPr>
        <w:rFonts w:ascii="Times New Roman" w:eastAsia="Times New Roman" w:hAnsi="Times New Roman" w:cs="Times New Roman"/>
        <w:i/>
      </w:rPr>
      <w:t xml:space="preserve">    TEOT: 15936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5B44E0"/>
    <w:multiLevelType w:val="hybridMultilevel"/>
    <w:tmpl w:val="FB52051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0416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B72150"/>
    <w:multiLevelType w:val="hybridMultilevel"/>
    <w:tmpl w:val="CC1E1C7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D0847EE"/>
    <w:multiLevelType w:val="multilevel"/>
    <w:tmpl w:val="70746ABA"/>
    <w:lvl w:ilvl="0">
      <w:numFmt w:val="bullet"/>
      <w:lvlText w:val="•"/>
      <w:lvlJc w:val="left"/>
      <w:pPr>
        <w:ind w:left="1440" w:hanging="360"/>
      </w:pPr>
      <w:rPr>
        <w:rFonts w:ascii="Symbol" w:hAnsi="Symbol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3" w15:restartNumberingAfterBreak="0">
    <w:nsid w:val="336F58BF"/>
    <w:multiLevelType w:val="multilevel"/>
    <w:tmpl w:val="D400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7A377CB"/>
    <w:multiLevelType w:val="multilevel"/>
    <w:tmpl w:val="E54AE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70540BCA"/>
    <w:multiLevelType w:val="multilevel"/>
    <w:tmpl w:val="F8847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7CDD03EF"/>
    <w:multiLevelType w:val="hybridMultilevel"/>
    <w:tmpl w:val="1D046CDE"/>
    <w:lvl w:ilvl="0" w:tplc="0416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712080385">
    <w:abstractNumId w:val="2"/>
  </w:num>
  <w:num w:numId="2" w16cid:durableId="206994131">
    <w:abstractNumId w:val="5"/>
  </w:num>
  <w:num w:numId="3" w16cid:durableId="1070810317">
    <w:abstractNumId w:val="4"/>
  </w:num>
  <w:num w:numId="4" w16cid:durableId="1290935299">
    <w:abstractNumId w:val="3"/>
  </w:num>
  <w:num w:numId="5" w16cid:durableId="888611767">
    <w:abstractNumId w:val="1"/>
  </w:num>
  <w:num w:numId="6" w16cid:durableId="536087675">
    <w:abstractNumId w:val="6"/>
  </w:num>
  <w:num w:numId="7" w16cid:durableId="2841225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2BE6"/>
    <w:rsid w:val="00017A37"/>
    <w:rsid w:val="000202E7"/>
    <w:rsid w:val="0002449D"/>
    <w:rsid w:val="00030199"/>
    <w:rsid w:val="00051280"/>
    <w:rsid w:val="00070BDB"/>
    <w:rsid w:val="000C5195"/>
    <w:rsid w:val="000E2166"/>
    <w:rsid w:val="000F2E3D"/>
    <w:rsid w:val="000F480D"/>
    <w:rsid w:val="00160E8E"/>
    <w:rsid w:val="0019341B"/>
    <w:rsid w:val="001C2FA9"/>
    <w:rsid w:val="00242F1D"/>
    <w:rsid w:val="00265788"/>
    <w:rsid w:val="002B2885"/>
    <w:rsid w:val="002B60EF"/>
    <w:rsid w:val="00300089"/>
    <w:rsid w:val="0032092D"/>
    <w:rsid w:val="003370FB"/>
    <w:rsid w:val="003440B8"/>
    <w:rsid w:val="00373854"/>
    <w:rsid w:val="003A036E"/>
    <w:rsid w:val="003E15CF"/>
    <w:rsid w:val="00432696"/>
    <w:rsid w:val="004B152F"/>
    <w:rsid w:val="005C6C13"/>
    <w:rsid w:val="00605881"/>
    <w:rsid w:val="0060735B"/>
    <w:rsid w:val="00612401"/>
    <w:rsid w:val="006A280F"/>
    <w:rsid w:val="006B7933"/>
    <w:rsid w:val="006D785E"/>
    <w:rsid w:val="006F67CE"/>
    <w:rsid w:val="007000D4"/>
    <w:rsid w:val="0076769A"/>
    <w:rsid w:val="00773DB7"/>
    <w:rsid w:val="00774D9E"/>
    <w:rsid w:val="007E0A6F"/>
    <w:rsid w:val="008B28A7"/>
    <w:rsid w:val="00902DC3"/>
    <w:rsid w:val="00904E5F"/>
    <w:rsid w:val="00927AED"/>
    <w:rsid w:val="009364DE"/>
    <w:rsid w:val="009733D9"/>
    <w:rsid w:val="009A6A46"/>
    <w:rsid w:val="009C10FC"/>
    <w:rsid w:val="009F554F"/>
    <w:rsid w:val="00A36FAC"/>
    <w:rsid w:val="00A769DE"/>
    <w:rsid w:val="00AD453A"/>
    <w:rsid w:val="00B76575"/>
    <w:rsid w:val="00B96D27"/>
    <w:rsid w:val="00BC4A9F"/>
    <w:rsid w:val="00BD2B95"/>
    <w:rsid w:val="00BE1E7E"/>
    <w:rsid w:val="00C041E4"/>
    <w:rsid w:val="00C42892"/>
    <w:rsid w:val="00C527A9"/>
    <w:rsid w:val="00C642BD"/>
    <w:rsid w:val="00C66FDB"/>
    <w:rsid w:val="00C9340C"/>
    <w:rsid w:val="00D0651B"/>
    <w:rsid w:val="00D964E3"/>
    <w:rsid w:val="00DA2F15"/>
    <w:rsid w:val="00DC6798"/>
    <w:rsid w:val="00E20557"/>
    <w:rsid w:val="00E45091"/>
    <w:rsid w:val="00E75EB4"/>
    <w:rsid w:val="00E77E72"/>
    <w:rsid w:val="00E92BE6"/>
    <w:rsid w:val="00EB14CC"/>
    <w:rsid w:val="00ED0C8A"/>
    <w:rsid w:val="00EE40C4"/>
    <w:rsid w:val="00F35DFB"/>
    <w:rsid w:val="00F528FF"/>
    <w:rsid w:val="00F7278B"/>
    <w:rsid w:val="00F7654B"/>
    <w:rsid w:val="00F84615"/>
    <w:rsid w:val="00FC3282"/>
    <w:rsid w:val="00FE4BB0"/>
    <w:rsid w:val="00FE7305"/>
    <w:rsid w:val="00FE74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3FAEC27"/>
  <w15:chartTrackingRefBased/>
  <w15:docId w15:val="{CC467BD9-E221-4E9D-BCB8-6F5DB6B6D5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qFormat/>
    <w:rsid w:val="00BE1E7E"/>
    <w:pPr>
      <w:keepNext/>
      <w:keepLines/>
      <w:spacing w:before="120" w:after="120" w:line="240" w:lineRule="auto"/>
      <w:jc w:val="center"/>
      <w:outlineLvl w:val="0"/>
    </w:pPr>
    <w:rPr>
      <w:rFonts w:asciiTheme="majorHAnsi" w:eastAsiaTheme="majorEastAsia" w:hAnsiTheme="majorHAnsi" w:cstheme="majorBidi"/>
      <w:color w:val="3B3838" w:themeColor="background2" w:themeShade="40"/>
      <w:kern w:val="0"/>
      <w:sz w:val="48"/>
      <w:szCs w:val="32"/>
      <w:lang w:val="pt-PT"/>
      <w14:ligatures w14:val="none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B152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E1E7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BE1E7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BE1E7E"/>
  </w:style>
  <w:style w:type="paragraph" w:styleId="Rodap">
    <w:name w:val="footer"/>
    <w:basedOn w:val="Normal"/>
    <w:link w:val="RodapChar"/>
    <w:uiPriority w:val="99"/>
    <w:unhideWhenUsed/>
    <w:rsid w:val="00BE1E7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qFormat/>
    <w:rsid w:val="00BE1E7E"/>
  </w:style>
  <w:style w:type="character" w:customStyle="1" w:styleId="Ttulo1Char">
    <w:name w:val="Título 1 Char"/>
    <w:basedOn w:val="Fontepargpadro"/>
    <w:link w:val="Ttulo1"/>
    <w:rsid w:val="00BE1E7E"/>
    <w:rPr>
      <w:rFonts w:asciiTheme="majorHAnsi" w:eastAsiaTheme="majorEastAsia" w:hAnsiTheme="majorHAnsi" w:cstheme="majorBidi"/>
      <w:color w:val="3B3838" w:themeColor="background2" w:themeShade="40"/>
      <w:kern w:val="0"/>
      <w:sz w:val="48"/>
      <w:szCs w:val="32"/>
      <w:lang w:val="pt-PT"/>
      <w14:ligatures w14:val="none"/>
    </w:rPr>
  </w:style>
  <w:style w:type="table" w:styleId="Tabelacomgrade">
    <w:name w:val="Table Grid"/>
    <w:basedOn w:val="Tabelanormal"/>
    <w:uiPriority w:val="39"/>
    <w:rsid w:val="00BE1E7E"/>
    <w:pPr>
      <w:spacing w:after="0" w:line="240" w:lineRule="auto"/>
    </w:pPr>
    <w:rPr>
      <w:kern w:val="0"/>
      <w:sz w:val="24"/>
      <w:szCs w:val="24"/>
      <w:lang w:val="pt-PT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andard">
    <w:name w:val="Standard"/>
    <w:qFormat/>
    <w:rsid w:val="00BE1E7E"/>
    <w:pPr>
      <w:widowControl w:val="0"/>
      <w:suppressAutoHyphens/>
      <w:autoSpaceDN w:val="0"/>
      <w:spacing w:after="0" w:line="240" w:lineRule="auto"/>
    </w:pPr>
    <w:rPr>
      <w:rFonts w:ascii="Calibri" w:eastAsia="Segoe UI" w:hAnsi="Calibri" w:cs="Tahoma"/>
      <w:color w:val="000000"/>
      <w:kern w:val="3"/>
      <w:sz w:val="24"/>
      <w:szCs w:val="24"/>
      <w:lang w:eastAsia="zh-CN" w:bidi="hi-IN"/>
      <w14:ligatures w14:val="none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E1E7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Tipodeletrapredefinidodopargrafo">
    <w:name w:val="Tipo de letra predefinido do parágrafo"/>
    <w:qFormat/>
    <w:rsid w:val="00373854"/>
  </w:style>
  <w:style w:type="character" w:customStyle="1" w:styleId="Ttulo2Char">
    <w:name w:val="Título 2 Char"/>
    <w:basedOn w:val="Fontepargpadro"/>
    <w:link w:val="Ttulo2"/>
    <w:uiPriority w:val="9"/>
    <w:semiHidden/>
    <w:rsid w:val="004B152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77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028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613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76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88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600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862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38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06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57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82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89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473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5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63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82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316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471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58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688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970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764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19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330333-43C4-4A4B-BAB9-F7615DDE4D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5869</TotalTime>
  <Pages>1</Pages>
  <Words>1</Words>
  <Characters>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ian fragalli</dc:creator>
  <cp:keywords/>
  <dc:description/>
  <cp:lastModifiedBy>ian fragalli</cp:lastModifiedBy>
  <cp:revision>16</cp:revision>
  <cp:lastPrinted>2026-04-14T20:07:00Z</cp:lastPrinted>
  <dcterms:created xsi:type="dcterms:W3CDTF">2025-08-21T14:29:00Z</dcterms:created>
  <dcterms:modified xsi:type="dcterms:W3CDTF">2026-07-20T12:26:00Z</dcterms:modified>
</cp:coreProperties>
</file>