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Standard"/>
        <w:tabs>
          <w:tab w:val="right" w:pos="8504" w:leader="dot"/>
        </w:tabs>
        <w:spacing w:before="130" w:after="90"/>
        <w:textAlignment w:val="baseline"/>
      </w:pPr>
      <w:r>
        <w:rPr>
          <w:b/>
          <w:bCs/>
          <w:caps/>
          <w:color w:val="595959"/>
          <w:spacing w:val="50"/>
          <w:sz w:val="17"/>
          <w:szCs w:val="17"/>
        </w:rPr>
        <w:t xml:space="preserve">Paciente</w:t>
      </w:r>
      <w:r>
        <w:rPr>
          <w:color w:val="C4C4C4"/>
          <w:sz w:val="22"/>
          <w:szCs w:val="22"/>
        </w:rPr>
        <w:tab/>
      </w:r>
    </w:p>
    <w:p>
      <w:pPr>
        <w:pStyle w:val="Standard"/>
        <w:tabs>
          <w:tab w:val="right" w:pos="3900" w:leader="dot"/>
          <w:tab w:val="right" w:pos="8504" w:leader="dot"/>
        </w:tabs>
        <w:spacing w:before="0" w:after="60"/>
        <w:textAlignment w:val="baseline"/>
      </w:pPr>
      <w:r>
        <w:rPr>
          <w:b/>
          <w:bCs/>
          <w:caps/>
          <w:color w:val="595959"/>
          <w:spacing w:val="50"/>
          <w:sz w:val="17"/>
          <w:szCs w:val="17"/>
        </w:rPr>
        <w:t xml:space="preserve">Data</w:t>
      </w:r>
      <w:r>
        <w:rPr>
          <w:color w:val="C4C4C4"/>
          <w:sz w:val="22"/>
          <w:szCs w:val="22"/>
        </w:rPr>
        <w:tab/>
      </w:r>
      <w:r>
        <w:rPr>
          <w:b/>
          <w:bCs/>
          <w:caps/>
          <w:color w:val="595959"/>
          <w:spacing w:val="50"/>
          <w:sz w:val="17"/>
          <w:szCs w:val="17"/>
        </w:rPr>
        <w:t xml:space="preserve">      Médico solicitante</w:t>
      </w:r>
      <w:r>
        <w:rPr>
          <w:color w:val="C4C4C4"/>
          <w:sz w:val="22"/>
          <w:szCs w:val="22"/>
        </w:rPr>
        <w:tab/>
      </w:r>
    </w:p>
    <w:p>
      <w:pPr>
        <w:pStyle w:val="Standard"/>
        <w:pBdr>
          <w:bottom w:val="single" w:sz="6" w:space="2" w:color="C4C4C4"/>
        </w:pBdr>
        <w:spacing w:before="0" w:after="170"/>
        <w:textAlignment w:val="baseline"/>
      </w:pPr>
    </w:p>
    <w:p>
      <w:pPr>
        <w:pStyle w:val="Standard"/>
        <w:keepNext/>
        <w:keepLines/>
        <w:pBdr>
          <w:bottom w:val="single" w:sz="8" w:space="2" w:color="3F7A5E"/>
        </w:pBdr>
        <w:spacing w:before="0" w:after="140"/>
        <w:textAlignment w:val="baseline"/>
      </w:pPr>
      <w:r>
        <w:rPr>
          <w:b/>
          <w:bCs/>
          <w:color w:val="1A1A1A"/>
          <w:spacing w:val="40"/>
          <w:sz w:val="24"/>
          <w:szCs w:val="24"/>
        </w:rPr>
        <w:t xml:space="preserve">ULTRASSONOGRAFIA DO COTOVELO </w:t>
      </w:r>
      <w:sdt>
        <w:sdtPr>
          <w:rPr>
            <w:b/>
            <w:bCs/>
            <w:color w:val="1A1A1A"/>
            <w:spacing w:val="40"/>
            <w:sz w:val="24"/>
            <w:szCs w:val="24"/>
          </w:rPr>
          <w:alias w:val="Lado_cotovelo"/>
          <w:tag w:val="Lado_cotovelo"/>
          <w:id w:val="90037"/>
          <w:dropDownList>
            <w:listItem w:displayText="DIREITO" w:value="DIREITO"/>
            <w:listItem w:displayText="ESQUERDO" w:value="ESQUERDO"/>
          </w:dropDownList>
        </w:sdtPr>
        <w:sdtContent>
          <w:r>
            <w:rPr>
              <w:b/>
              <w:bCs/>
              <w:color w:val="1A1A1A"/>
              <w:spacing w:val="40"/>
              <w:sz w:val="24"/>
              <w:szCs w:val="24"/>
            </w:rPr>
            <w:t xml:space="preserve">DIREITO</w:t>
          </w:r>
        </w:sdtContent>
      </w:sdt>
    </w:p>
    <w:p>
      <w:pPr>
        <w:pStyle w:val="Standard"/>
        <w:keepNext/>
        <w:keepLines/>
        <w:spacing w:before="0" w:after="50"/>
        <w:textAlignment w:val="baseline"/>
      </w:pPr>
      <w:r>
        <w:rPr>
          <w:b/>
          <w:bCs/>
          <w:caps/>
          <w:color w:val="595959"/>
          <w:spacing w:val="60"/>
          <w:sz w:val="18"/>
          <w:szCs w:val="18"/>
        </w:rPr>
        <w:t xml:space="preserve">Relatório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3F7A5E"/>
          <w:sz w:val="22"/>
          <w:szCs w:val="22"/>
        </w:rPr>
        <w:t xml:space="preserve">1.</w:t>
      </w:r>
      <w:r>
        <w:tab/>
      </w:r>
      <w:r>
        <w:rPr>
          <w:color w:val="1A1A1A"/>
          <w:sz w:val="22"/>
          <w:szCs w:val="22"/>
        </w:rPr>
        <w:t xml:space="preserve">Tendão comum dos flexores e dos extensores de calibre, contornos e textura normais.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3F7A5E"/>
          <w:sz w:val="22"/>
          <w:szCs w:val="22"/>
        </w:rPr>
        <w:t xml:space="preserve">2.</w:t>
      </w:r>
      <w:r>
        <w:tab/>
      </w:r>
      <w:r>
        <w:rPr>
          <w:color w:val="1A1A1A"/>
          <w:sz w:val="22"/>
          <w:szCs w:val="22"/>
        </w:rPr>
        <w:t xml:space="preserve">Superfícies ósseas dos epicôndilos com contornos preservados.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3F7A5E"/>
          <w:sz w:val="22"/>
          <w:szCs w:val="22"/>
        </w:rPr>
        <w:t xml:space="preserve">3.</w:t>
      </w:r>
      <w:r>
        <w:tab/>
      </w:r>
      <w:r>
        <w:rPr>
          <w:color w:val="1A1A1A"/>
          <w:sz w:val="22"/>
          <w:szCs w:val="22"/>
        </w:rPr>
        <w:t xml:space="preserve">Nervo ulnar tópico, com área de secção transversal normal.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3F7A5E"/>
          <w:sz w:val="22"/>
          <w:szCs w:val="22"/>
        </w:rPr>
        <w:t xml:space="preserve">4.</w:t>
      </w:r>
      <w:r>
        <w:tab/>
      </w:r>
      <w:r>
        <w:rPr>
          <w:color w:val="1A1A1A"/>
          <w:sz w:val="22"/>
          <w:szCs w:val="22"/>
        </w:rPr>
        <w:t xml:space="preserve">Ausência de derrame articular nas fossas coronóide e posterior.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3F7A5E"/>
          <w:sz w:val="22"/>
          <w:szCs w:val="22"/>
        </w:rPr>
        <w:t xml:space="preserve">5.</w:t>
      </w:r>
      <w:r>
        <w:tab/>
      </w:r>
      <w:r>
        <w:rPr>
          <w:color w:val="1A1A1A"/>
          <w:sz w:val="22"/>
          <w:szCs w:val="22"/>
        </w:rPr>
        <w:t xml:space="preserve">Bursas bicipito-radial e olecraneana anatômicas.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3F7A5E"/>
          <w:sz w:val="22"/>
          <w:szCs w:val="22"/>
        </w:rPr>
        <w:t xml:space="preserve">6.</w:t>
      </w:r>
      <w:r>
        <w:tab/>
      </w:r>
      <w:r>
        <w:rPr>
          <w:color w:val="1A1A1A"/>
          <w:sz w:val="22"/>
          <w:szCs w:val="22"/>
        </w:rPr>
        <w:t xml:space="preserve">Tendões do tríceps e bíceps braquial íntegros, de textura e espessura usuais.</w:t>
      </w:r>
    </w:p>
    <w:p>
      <w:pPr>
        <w:pStyle w:val="Standard"/>
        <w:keepNext/>
        <w:keepLines/>
        <w:spacing w:before="170" w:after="50"/>
        <w:textAlignment w:val="baseline"/>
      </w:pPr>
      <w:r>
        <w:rPr>
          <w:b/>
          <w:bCs/>
          <w:caps/>
          <w:color w:val="595959"/>
          <w:spacing w:val="60"/>
          <w:sz w:val="18"/>
          <w:szCs w:val="18"/>
        </w:rPr>
        <w:t xml:space="preserve">Impressão</w:t>
      </w:r>
    </w:p>
    <w:p>
      <w:pPr>
        <w:pStyle w:val="Standard"/>
        <w:spacing w:before="0" w:after="70"/>
        <w:textAlignment w:val="baseline"/>
      </w:pPr>
      <w:sdt>
        <w:sdtPr>
          <w:rPr>
            <w:color w:val="1A1A1A"/>
            <w:sz w:val="22"/>
            <w:szCs w:val="22"/>
          </w:rPr>
          <w:alias w:val="Impressao_cotovelo_0"/>
          <w:tag w:val="Impressao_cotovelo_0"/>
          <w:id w:val="90038"/>
          <w:dropDownList>
            <w:listItem w:displayText="Estudo ecográfico sem alterações ao método." w:value="Estudo ecográfico sem alterações ao método."/>
            <w:listItem w:displayText="Epicondilite lateral (tendinopatia do tendão comum dos extensores)." w:value="Epicondilite lateral (tendinopatia do tendão comum dos extensores)."/>
            <w:listItem w:displayText="Epicondilite medial (tendinopatia do tendão comum dos flexores)." w:value="Epicondilite medial (tendinopatia do tendão comum dos flexores)."/>
            <w:listItem w:displayText="Epicondilite lateral associada a rotura parcial do tendão comum dos extensores." w:value="Epicondilite lateral associada a rotura parcial do tendão comum dos extensores."/>
            <w:listItem w:displayText="Neuropatia compressiva do nervo ulnar no túnel cubital." w:value="Neuropatia compressiva do nervo ulnar no túnel cubital."/>
            <w:listItem w:displayText="Luxação recidivante do nervo ulnar à flexão do cotovelo." w:value="Luxação recidivante do nervo ulnar à flexão do cotovelo."/>
            <w:listItem w:displayText="Bursite olecraneana." w:value="Bursite olecraneana."/>
            <w:listItem w:displayText="Derrame articular do cotovelo." w:value="Derrame articular do cotovelo."/>
            <w:listItem w:displayText="Tendinopatia distal do bíceps braquial." w:value="Tendinopatia distal do bíceps braquial."/>
          </w:dropDownList>
        </w:sdtPr>
        <w:sdtContent>
          <w:r>
            <w:rPr>
              <w:color w:val="1A1A1A"/>
              <w:sz w:val="22"/>
              <w:szCs w:val="22"/>
            </w:rPr>
            <w:t xml:space="preserve">Estudo ecográfico sem alterações ao método.</w:t>
          </w:r>
        </w:sdtContent>
      </w:sdt>
    </w:p>
    <w:p>
      <w:pPr>
        <w:pStyle w:val="Standard"/>
      </w:pPr>
      <w:r>
        <w:br w:type="page"/>
      </w:r>
    </w:p>
    <w:p>
      <w:pPr>
        <w:pStyle w:val="Standard"/>
        <w:keepNext/>
        <w:keepLines/>
        <w:pBdr>
          <w:bottom w:val="single" w:sz="6" w:space="2" w:color="C4C4C4"/>
        </w:pBdr>
        <w:spacing w:before="130" w:after="40"/>
        <w:textAlignment w:val="baseline"/>
      </w:pPr>
      <w:r>
        <w:rPr>
          <w:b/>
          <w:bCs/>
          <w:caps/>
          <w:color w:val="1A1A1A"/>
          <w:spacing w:val="60"/>
          <w:sz w:val="18"/>
          <w:szCs w:val="18"/>
        </w:rPr>
        <w:t xml:space="preserve">Banco de achados</w:t>
      </w:r>
      <w:r>
        <w:rPr>
          <w:caps/>
          <w:color w:val="595959"/>
          <w:spacing w:val="60"/>
          <w:sz w:val="18"/>
          <w:szCs w:val="18"/>
        </w:rPr>
        <w:t xml:space="preserve">   O COTOVELO</w:t>
      </w:r>
    </w:p>
    <w:p>
      <w:pPr>
        <w:pStyle w:val="Standard"/>
        <w:spacing w:before="0" w:after="130"/>
        <w:textAlignment w:val="baseline"/>
      </w:pPr>
      <w:r>
        <w:rPr>
          <w:i/>
          <w:iCs/>
          <w:color w:val="7A7A7A"/>
          <w:sz w:val="17"/>
          <w:szCs w:val="17"/>
        </w:rPr>
        <w:t xml:space="preserve">Material de apoio à redação — não faz parte do laudo; apagar esta página antes da emissão.</w:t>
      </w:r>
    </w:p>
    <w:p>
      <w:pPr>
        <w:pStyle w:val="Standard"/>
        <w:keepNext/>
        <w:keepLines/>
        <w:spacing w:before="110" w:after="45"/>
        <w:textAlignment w:val="baseline"/>
      </w:pPr>
      <w:r>
        <w:rPr>
          <w:b/>
          <w:bCs/>
          <w:color w:val="3F7A5E"/>
          <w:spacing w:val="25"/>
          <w:sz w:val="19"/>
          <w:szCs w:val="19"/>
        </w:rPr>
        <w:t xml:space="preserve">Item 1 — Tendão comum dos flexores e dos extensores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Epicondilite lateral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Tendão comum dos extensores espessado e com padrão fibrilar heterogêneo, compatível com epicondilite lateral (cotovelo de tenista).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Epicondilite medial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Tendão comum dos flexores espessado e com padrão fibrilar heterogêneo, compatível com epicondilite medial (cotovelo de golfista).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Com neovascularização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Tendão comum dos ..... espessado (..... mm), com áreas hipoecogênicas e neovascularização ao estudo Doppler, compatível com tendinopatia em atividade.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Rotura parcial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Área hipo/anecoica focal medindo ..... mm junto à origem do tendão comum dos ....., com descontinuidade parcial das fibras, compatível com rotura parcial.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Calcificações / entesófito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Focos hiperecogênicos com sombra acústica posterior junto à entese epicondiliana ....., compatíveis com calcificações e entesófito.</w:t>
      </w:r>
    </w:p>
    <w:p>
      <w:pPr>
        <w:pStyle w:val="Standard"/>
        <w:keepNext/>
        <w:keepLines/>
        <w:spacing w:before="110" w:after="45"/>
        <w:textAlignment w:val="baseline"/>
      </w:pPr>
      <w:r>
        <w:rPr>
          <w:b/>
          <w:bCs/>
          <w:color w:val="3F7A5E"/>
          <w:spacing w:val="25"/>
          <w:sz w:val="19"/>
          <w:szCs w:val="19"/>
        </w:rPr>
        <w:t xml:space="preserve">Item 2 — Superfícies ósseas dos epicôndilos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Irregularidade cortical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Irregularidade e erosão cortical junto ao epicôndilo ....., sugestiva de entesopatia crônica.</w:t>
      </w:r>
    </w:p>
    <w:p>
      <w:pPr>
        <w:pStyle w:val="Standard"/>
        <w:keepNext/>
        <w:keepLines/>
        <w:spacing w:before="110" w:after="45"/>
        <w:textAlignment w:val="baseline"/>
      </w:pPr>
      <w:r>
        <w:rPr>
          <w:b/>
          <w:bCs/>
          <w:color w:val="3F7A5E"/>
          <w:spacing w:val="25"/>
          <w:sz w:val="19"/>
          <w:szCs w:val="19"/>
        </w:rPr>
        <w:t xml:space="preserve">Item 3 — Nervo ulnar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Neuropatia compressiva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Nervo ulnar espessado no túnel cubital, com área de secção transversal de ..... mm² (valor de referência até 10 mm²), com perda do padrão fascicular, compatível com neuropatia compressiva.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Subluxação / luxação dinâmica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Ao estudo dinâmico observa-se subluxação / luxação do nervo ulnar sobre o epicôndilo medial durante a flexão do cotovelo, com redução espontânea à extensão.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Hiperemia intraneural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Nervo ulnar espessado, com hiperemia intraneural ao estudo Doppler.</w:t>
      </w:r>
    </w:p>
    <w:p>
      <w:pPr>
        <w:pStyle w:val="Standard"/>
        <w:keepNext/>
        <w:keepLines/>
        <w:spacing w:before="110" w:after="45"/>
        <w:textAlignment w:val="baseline"/>
      </w:pPr>
      <w:r>
        <w:rPr>
          <w:b/>
          <w:bCs/>
          <w:color w:val="3F7A5E"/>
          <w:spacing w:val="25"/>
          <w:sz w:val="19"/>
          <w:szCs w:val="19"/>
        </w:rPr>
        <w:t xml:space="preserve">Item 4 — Cavidade articular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Derrame articular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Distensão líquida da fossa olecraniana / coronóide, medindo ..... mm, com elevação do coxim gorduroso posterior.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Sinovite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Proliferação sinovial com hiperemia ao estudo Doppler nas fossas coronóide e olecraniana, compatível com sinovite.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Corpos livres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Imagens hiperecogênicas com sombra acústica posterior no interior do recesso articular, medindo até ..... mm, compatíveis com corpos livres intra-articulares.</w:t>
      </w:r>
    </w:p>
    <w:p>
      <w:pPr>
        <w:pStyle w:val="Standard"/>
        <w:keepNext/>
        <w:keepLines/>
        <w:spacing w:before="110" w:after="45"/>
        <w:textAlignment w:val="baseline"/>
      </w:pPr>
      <w:r>
        <w:rPr>
          <w:b/>
          <w:bCs/>
          <w:color w:val="3F7A5E"/>
          <w:spacing w:val="25"/>
          <w:sz w:val="19"/>
          <w:szCs w:val="19"/>
        </w:rPr>
        <w:t xml:space="preserve">Item 5 — Bursas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Bursite olecraneana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Bursa olecraneana com distensão líquida medindo ..... x ..... mm, associada a espessamento sinovial, compatível com bursite.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Bursite bicipitorradial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Bursa bicipitorradial com distensão líquida medindo ..... mm, adjacente à inserção do tendão distal do bíceps.</w:t>
      </w:r>
    </w:p>
    <w:p>
      <w:pPr>
        <w:pStyle w:val="Standard"/>
        <w:keepNext/>
        <w:keepLines/>
        <w:spacing w:before="110" w:after="45"/>
        <w:textAlignment w:val="baseline"/>
      </w:pPr>
      <w:r>
        <w:rPr>
          <w:b/>
          <w:bCs/>
          <w:color w:val="3F7A5E"/>
          <w:spacing w:val="25"/>
          <w:sz w:val="19"/>
          <w:szCs w:val="19"/>
        </w:rPr>
        <w:t xml:space="preserve">Item 6 — Tendões do bíceps e do tríceps / ligamentos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Tendinopatia distal do bíceps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Tendão distal do bíceps braquial espessado e heterogêneo junto à tuberosidade radial, compatível com tendinopatia.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Rotura do bíceps distal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Descontinuidade das fibras do tendão distal do bíceps braquial, com retração do coto proximal em ..... mm.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Lesão do ligamento colateral ulnar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Ligamento colateral ulnar espessado e heterogêneo, com solução de continuidade parcial de suas fibras, compatível com lesão grau ......</w:t>
      </w:r>
    </w:p>
    <w:sectPr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E5659" w14:textId="77777777" w:rsidR="00FE74FB" w:rsidRDefault="00FE74FB" w:rsidP="00BE1E7E">
      <w:pPr>
        <w:spacing w:after="0" w:line="240" w:lineRule="auto"/>
      </w:pPr>
      <w:r>
        <w:separator/>
      </w:r>
    </w:p>
  </w:endnote>
  <w:endnote w:type="continuationSeparator" w:id="0">
    <w:p w14:paraId="0CC8512D" w14:textId="77777777" w:rsidR="00FE74FB" w:rsidRDefault="00FE74FB" w:rsidP="00BE1E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gona Book">
    <w:charset w:val="00"/>
    <w:family w:val="roman"/>
    <w:pitch w:val="variable"/>
    <w:sig w:usb0="8000002F" w:usb1="0000000A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94799" w14:textId="7BC1C690" w:rsidR="0060735B" w:rsidRPr="007E0A6F" w:rsidRDefault="0060735B" w:rsidP="0060735B">
    <w:pPr>
      <w:pStyle w:val="Standard"/>
      <w:jc w:val="center"/>
      <w:textAlignment w:val="baseline"/>
      <w:rPr>
        <w:b/>
        <w:bCs/>
      </w:rPr>
    </w:pPr>
    <w:r w:rsidRPr="007E0A6F">
      <w:rPr>
        <w:b/>
        <w:bCs/>
        <w:noProof/>
      </w:rPr>
      <w:drawing>
        <wp:inline distT="0" distB="0" distL="0" distR="0" wp14:anchorId="2CA5353A" wp14:editId="58F7BC06">
          <wp:extent cx="1950720" cy="1272960"/>
          <wp:effectExtent l="0" t="0" r="0" b="0"/>
          <wp:docPr id="2004635648" name="Imagem 2" descr="Diagram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4635648" name="Imagem 2" descr="Diagrama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0720" cy="1272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>
    <w:pPr>
      <w:pStyle w:val="Standard"/>
      <w:pBdr>
        <w:bottom w:val="single" w:sz="6" w:space="1" w:color="9A9A9A"/>
      </w:pBdr>
      <w:ind w:left="2600" w:right="2600"/>
      <w:jc w:val="center"/>
    </w:pPr>
  </w:p>
  <w:p w14:paraId="3D742A0F" w14:textId="32F516BC" w:rsidR="0060735B" w:rsidRPr="007E0A6F" w:rsidRDefault="0060735B" w:rsidP="0060735B">
    <w:pPr>
      <w:pStyle w:val="Standard"/>
      <w:jc w:val="center"/>
      <w:textAlignment w:val="baseline"/>
      <w:rPr>
        <w:b/>
        <w:bCs/>
      </w:rPr>
    </w:pPr>
  </w:p>
  <w:p w14:paraId="2C7E4FE7" w14:textId="77777777" w:rsidR="0060735B" w:rsidRPr="007E0A6F" w:rsidRDefault="0060735B" w:rsidP="0060735B">
    <w:pPr>
      <w:pStyle w:val="Standard"/>
      <w:jc w:val="center"/>
      <w:textAlignment w:val="baseline"/>
      <w:rPr>
        <w:b/>
        <w:bCs/>
      </w:rPr>
    </w:pPr>
    <w:proofErr w:type="spellStart"/>
    <w:r w:rsidRPr="007E0A6F">
      <w:rPr>
        <w:b/>
        <w:bCs/>
        <w:color w:val="1A1A1A"/>
        <w:spacing w:val="30"/>
        <w:sz w:val="20"/>
        <w:szCs w:val="20"/>
      </w:rPr>
      <w:t>Dr</w:t>
    </w:r>
    <w:proofErr w:type="spellEnd"/>
    <w:r w:rsidRPr="007E0A6F">
      <w:rPr>
        <w:b/>
        <w:bCs/>
        <w:color w:val="1A1A1A"/>
        <w:spacing w:val="30"/>
        <w:sz w:val="20"/>
        <w:szCs w:val="20"/>
      </w:rPr>
      <w:t xml:space="preserve"> IAN ALMEIDA FRAGALLI</w:t>
    </w:r>
  </w:p>
  <w:p w14:paraId="04CC0B37" w14:textId="77777777" w:rsidR="0060735B" w:rsidRPr="007E0A6F" w:rsidRDefault="0060735B" w:rsidP="0060735B">
    <w:pPr>
      <w:pStyle w:val="Standard"/>
      <w:jc w:val="center"/>
      <w:textAlignment w:val="baseline"/>
      <w:rPr>
        <w:b/>
        <w:bCs/>
      </w:rPr>
    </w:pPr>
    <w:r w:rsidRPr="007E0A6F">
      <w:rPr>
        <w:color w:val="595959"/>
        <w:spacing w:val="20"/>
        <w:sz w:val="18"/>
        <w:szCs w:val="18"/>
      </w:rPr>
      <w:t>CRM 202.297</w:t>
    </w:r>
  </w:p>
  <w:p w14:paraId="22D6FC99" w14:textId="77777777" w:rsidR="0060735B" w:rsidRPr="007E0A6F" w:rsidRDefault="0060735B" w:rsidP="0060735B">
    <w:pPr>
      <w:pStyle w:val="Standard"/>
      <w:jc w:val="center"/>
      <w:textAlignment w:val="baseline"/>
      <w:rPr>
        <w:b/>
        <w:bCs/>
      </w:rPr>
    </w:pPr>
    <w:r w:rsidRPr="007E0A6F">
      <w:rPr>
        <w:color w:val="595959"/>
        <w:spacing w:val="20"/>
        <w:sz w:val="18"/>
        <w:szCs w:val="18"/>
      </w:rPr>
      <w:t>TEOT 15.936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F6960" w14:textId="77777777" w:rsidR="00FE74FB" w:rsidRDefault="00FE74FB" w:rsidP="00BE1E7E">
      <w:pPr>
        <w:spacing w:after="0" w:line="240" w:lineRule="auto"/>
      </w:pPr>
      <w:r>
        <w:separator/>
      </w:r>
    </w:p>
  </w:footnote>
  <w:footnote w:type="continuationSeparator" w:id="0">
    <w:p w14:paraId="0D3A5083" w14:textId="77777777" w:rsidR="00FE74FB" w:rsidRDefault="00FE74FB" w:rsidP="00BE1E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D51B8" w14:textId="57683278" w:rsidR="00BE1E7E" w:rsidRPr="00BE1E7E" w:rsidRDefault="00BE1E7E" w:rsidP="00BE1E7E">
    <w:pPr>
      <w:pStyle w:val="Ttulo1"/>
      <w:rPr>
        <w:rFonts w:ascii="Sagona Book" w:hAnsi="Sagona Book"/>
        <w:lang w:val="pt-BR"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6D24E7A9" wp14:editId="7E19280F">
          <wp:simplePos x="0" y="0"/>
          <wp:positionH relativeFrom="margin">
            <wp:posOffset>4993005</wp:posOffset>
          </wp:positionH>
          <wp:positionV relativeFrom="paragraph">
            <wp:posOffset>83820</wp:posOffset>
          </wp:positionV>
          <wp:extent cx="1074420" cy="1074420"/>
          <wp:effectExtent l="0" t="0" r="0" b="0"/>
          <wp:wrapNone/>
          <wp:docPr id="1418510059" name="Imagem 1" descr="Inekcije hijaluronske kiseline – Div Le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nekcije hijaluronske kiseline – Div Lek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123" t="55508" r="50562" b="8639"/>
                  <a:stretch/>
                </pic:blipFill>
                <pic:spPr bwMode="auto">
                  <a:xfrm>
                    <a:off x="0" y="0"/>
                    <a:ext cx="1074420" cy="107442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57D1E8E7" wp14:editId="62673F03">
          <wp:simplePos x="0" y="0"/>
          <wp:positionH relativeFrom="column">
            <wp:posOffset>-607695</wp:posOffset>
          </wp:positionH>
          <wp:positionV relativeFrom="paragraph">
            <wp:posOffset>175260</wp:posOffset>
          </wp:positionV>
          <wp:extent cx="998220" cy="990600"/>
          <wp:effectExtent l="0" t="0" r="0" b="0"/>
          <wp:wrapNone/>
          <wp:docPr id="1002472117" name="Imagem 1" descr="Ortopedia | Brands of the World™ | Download vector logos and logotyp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Ortopedia | Brands of the World™ | Download vector logos and logotypes"/>
                  <pic:cNvPicPr>
                    <a:picLocks noChangeAspect="1" noChangeArrowheads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921" t="7896" r="7895" b="6579"/>
                  <a:stretch/>
                </pic:blipFill>
                <pic:spPr bwMode="auto">
                  <a:xfrm>
                    <a:off x="0" y="0"/>
                    <a:ext cx="998220" cy="990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E1E7E">
      <w:rPr>
        <w:rFonts w:ascii="Sagona Book" w:hAnsi="Sagona Book"/>
        <w:lang w:val="pt-BR" w:bidi="pt-BR"/>
      </w:rPr>
      <w:t>Dr. Ian Almeida Fragalli</w:t>
    </w:r>
  </w:p>
  <w:p w14:paraId="3034B784" w14:textId="77777777" w:rsidR="00BE1E7E" w:rsidRDefault="00BE1E7E" w:rsidP="00BE1E7E">
    <w:pPr>
      <w:pStyle w:val="Standard"/>
      <w:tabs>
        <w:tab w:val="center" w:pos="4252"/>
        <w:tab w:val="right" w:pos="8504"/>
      </w:tabs>
      <w:jc w:val="center"/>
      <w:rPr>
        <w:rFonts w:ascii="Times New Roman" w:eastAsia="Times New Roman" w:hAnsi="Times New Roman" w:cs="Times New Roman"/>
        <w:i/>
        <w:color w:val="auto"/>
      </w:rPr>
    </w:pPr>
    <w:r>
      <w:rPr>
        <w:rFonts w:ascii="Times New Roman" w:eastAsia="Times New Roman" w:hAnsi="Times New Roman" w:cs="Times New Roman"/>
        <w:i/>
        <w:color w:val="auto"/>
      </w:rPr>
      <w:t>Membro da Sociedade Brasileira de Tratamento por Ondas de Choque</w:t>
    </w:r>
  </w:p>
  <w:p w14:paraId="71711B37" w14:textId="7604110D" w:rsidR="00BE1E7E" w:rsidRDefault="00BE1E7E" w:rsidP="00BE1E7E">
    <w:pPr>
      <w:pStyle w:val="Standard"/>
      <w:tabs>
        <w:tab w:val="center" w:pos="4252"/>
        <w:tab w:val="right" w:pos="8504"/>
      </w:tabs>
      <w:jc w:val="center"/>
      <w:rPr>
        <w:rFonts w:ascii="Times New Roman" w:eastAsia="Times New Roman" w:hAnsi="Times New Roman" w:cs="Times New Roman"/>
        <w:i/>
        <w:color w:val="auto"/>
      </w:rPr>
    </w:pPr>
    <w:r>
      <w:rPr>
        <w:rFonts w:ascii="Times New Roman" w:eastAsia="Times New Roman" w:hAnsi="Times New Roman" w:cs="Times New Roman"/>
        <w:i/>
        <w:color w:val="auto"/>
      </w:rPr>
      <w:t>Membro Titular da Sociedade Brasileira de Ortopedia e Traumatologia</w:t>
    </w:r>
  </w:p>
  <w:p w14:paraId="1B2E0C23" w14:textId="69AE53D6" w:rsidR="00BE1E7E" w:rsidRDefault="00BE1E7E" w:rsidP="00BE1E7E">
    <w:pPr>
      <w:pStyle w:val="Standard"/>
      <w:tabs>
        <w:tab w:val="center" w:pos="4252"/>
        <w:tab w:val="right" w:pos="8504"/>
      </w:tabs>
      <w:jc w:val="center"/>
      <w:rPr>
        <w:rFonts w:ascii="Times New Roman" w:eastAsia="Times New Roman" w:hAnsi="Times New Roman" w:cs="Times New Roman"/>
        <w:i/>
        <w:color w:val="auto"/>
      </w:rPr>
    </w:pPr>
    <w:r>
      <w:rPr>
        <w:rFonts w:ascii="Times New Roman" w:eastAsia="Times New Roman" w:hAnsi="Times New Roman" w:cs="Times New Roman"/>
        <w:i/>
        <w:color w:val="auto"/>
      </w:rPr>
      <w:t>Especialista em Cirurgia e Tratamentos de Pé e Tornozelo</w:t>
    </w:r>
  </w:p>
  <w:p w14:paraId="509457A2" w14:textId="02A79ACF" w:rsidR="00BE1E7E" w:rsidRDefault="003440B8" w:rsidP="00BE1E7E">
    <w:pPr>
      <w:pStyle w:val="Standard"/>
      <w:tabs>
        <w:tab w:val="center" w:pos="4252"/>
        <w:tab w:val="right" w:pos="8504"/>
      </w:tabs>
      <w:jc w:val="center"/>
      <w:rPr>
        <w:rFonts w:ascii="Times New Roman" w:eastAsia="Times New Roman" w:hAnsi="Times New Roman" w:cs="Times New Roman"/>
        <w:i/>
        <w:color w:val="auto"/>
      </w:rPr>
    </w:pPr>
    <w:r>
      <w:rPr>
        <w:rFonts w:ascii="Times New Roman" w:eastAsia="Times New Roman" w:hAnsi="Times New Roman" w:cs="Times New Roman"/>
        <w:i/>
        <w:color w:val="auto"/>
      </w:rPr>
      <w:t>Intervenção em Dor e Medicina Regenerativa</w:t>
    </w:r>
  </w:p>
  <w:p w14:paraId="159CD38F" w14:textId="53EB7EC4" w:rsidR="00BE1E7E" w:rsidRDefault="0060735B" w:rsidP="00BE1E7E">
    <w:pPr>
      <w:pStyle w:val="Cabealho"/>
      <w:jc w:val="center"/>
    </w:pPr>
    <w:r>
      <w:rPr>
        <w:rFonts w:ascii="Franklin Gothic Book" w:hAnsi="Franklin Gothic Book"/>
        <w:noProof/>
      </w:rPr>
      <w:drawing>
        <wp:anchor distT="0" distB="0" distL="114300" distR="114300" simplePos="0" relativeHeight="251662336" behindDoc="1" locked="0" layoutInCell="1" allowOverlap="1" wp14:anchorId="00C06142" wp14:editId="67C46E5B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486400" cy="1481138"/>
          <wp:effectExtent l="0" t="0" r="0" b="3810"/>
          <wp:wrapNone/>
          <wp:docPr id="601113270" name="Imagem 1" descr="Uma imagem contendo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1113270" name="Imagem 1" descr="Uma imagem contendo nome da empresa&#10;&#10;O conteúdo gerado por IA pode estar incorre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86400" cy="14811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eastAsia="Times New Roman" w:hAnsi="Times New Roman" w:cs="Times New Roman"/>
        <w:i/>
      </w:rPr>
      <w:t>C</w:t>
    </w:r>
    <w:r w:rsidR="00BE1E7E">
      <w:rPr>
        <w:rFonts w:ascii="Times New Roman" w:eastAsia="Times New Roman" w:hAnsi="Times New Roman" w:cs="Times New Roman"/>
        <w:i/>
      </w:rPr>
      <w:t>RM</w:t>
    </w:r>
    <w:r w:rsidR="007E0A6F">
      <w:rPr>
        <w:rFonts w:ascii="Times New Roman" w:eastAsia="Times New Roman" w:hAnsi="Times New Roman" w:cs="Times New Roman"/>
        <w:i/>
      </w:rPr>
      <w:t>SP</w:t>
    </w:r>
    <w:r w:rsidR="00BE1E7E">
      <w:rPr>
        <w:rFonts w:ascii="Times New Roman" w:eastAsia="Times New Roman" w:hAnsi="Times New Roman" w:cs="Times New Roman"/>
        <w:i/>
      </w:rPr>
      <w:t xml:space="preserve"> </w:t>
    </w:r>
    <w:r w:rsidR="00B76575">
      <w:rPr>
        <w:rFonts w:ascii="Times New Roman" w:eastAsia="Times New Roman" w:hAnsi="Times New Roman" w:cs="Times New Roman"/>
        <w:i/>
      </w:rPr>
      <w:t>202.297</w:t>
    </w:r>
    <w:r w:rsidR="00BE1E7E">
      <w:rPr>
        <w:rFonts w:ascii="Times New Roman" w:eastAsia="Times New Roman" w:hAnsi="Times New Roman" w:cs="Times New Roman"/>
        <w:i/>
      </w:rPr>
      <w:t xml:space="preserve">    TEOT: 15936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B44E0"/>
    <w:multiLevelType w:val="hybridMultilevel"/>
    <w:tmpl w:val="FB5205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16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B72150"/>
    <w:multiLevelType w:val="hybridMultilevel"/>
    <w:tmpl w:val="CC1E1C7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0847EE"/>
    <w:multiLevelType w:val="multilevel"/>
    <w:tmpl w:val="70746ABA"/>
    <w:lvl w:ilvl="0">
      <w:numFmt w:val="bullet"/>
      <w:lvlText w:val="•"/>
      <w:lvlJc w:val="left"/>
      <w:pPr>
        <w:ind w:left="144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336F58BF"/>
    <w:multiLevelType w:val="multilevel"/>
    <w:tmpl w:val="D400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7A377CB"/>
    <w:multiLevelType w:val="multilevel"/>
    <w:tmpl w:val="E54A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0540BCA"/>
    <w:multiLevelType w:val="multilevel"/>
    <w:tmpl w:val="F884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CDD03EF"/>
    <w:multiLevelType w:val="hybridMultilevel"/>
    <w:tmpl w:val="1D046CDE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712080385">
    <w:abstractNumId w:val="2"/>
  </w:num>
  <w:num w:numId="2" w16cid:durableId="206994131">
    <w:abstractNumId w:val="5"/>
  </w:num>
  <w:num w:numId="3" w16cid:durableId="1070810317">
    <w:abstractNumId w:val="4"/>
  </w:num>
  <w:num w:numId="4" w16cid:durableId="1290935299">
    <w:abstractNumId w:val="3"/>
  </w:num>
  <w:num w:numId="5" w16cid:durableId="888611767">
    <w:abstractNumId w:val="1"/>
  </w:num>
  <w:num w:numId="6" w16cid:durableId="536087675">
    <w:abstractNumId w:val="6"/>
  </w:num>
  <w:num w:numId="7" w16cid:durableId="284122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BE6"/>
    <w:rsid w:val="00017A37"/>
    <w:rsid w:val="000202E7"/>
    <w:rsid w:val="0002449D"/>
    <w:rsid w:val="00030199"/>
    <w:rsid w:val="00051280"/>
    <w:rsid w:val="00070BDB"/>
    <w:rsid w:val="000C5195"/>
    <w:rsid w:val="000E2166"/>
    <w:rsid w:val="000F2E3D"/>
    <w:rsid w:val="000F480D"/>
    <w:rsid w:val="00160E8E"/>
    <w:rsid w:val="0019341B"/>
    <w:rsid w:val="001C2FA9"/>
    <w:rsid w:val="00242F1D"/>
    <w:rsid w:val="00265788"/>
    <w:rsid w:val="002B2885"/>
    <w:rsid w:val="002B60EF"/>
    <w:rsid w:val="00300089"/>
    <w:rsid w:val="0032092D"/>
    <w:rsid w:val="003370FB"/>
    <w:rsid w:val="003440B8"/>
    <w:rsid w:val="00373854"/>
    <w:rsid w:val="003A036E"/>
    <w:rsid w:val="003E15CF"/>
    <w:rsid w:val="00432696"/>
    <w:rsid w:val="004B152F"/>
    <w:rsid w:val="005C6C13"/>
    <w:rsid w:val="00605881"/>
    <w:rsid w:val="0060735B"/>
    <w:rsid w:val="00612401"/>
    <w:rsid w:val="006A280F"/>
    <w:rsid w:val="006B7933"/>
    <w:rsid w:val="006D785E"/>
    <w:rsid w:val="006F67CE"/>
    <w:rsid w:val="007000D4"/>
    <w:rsid w:val="0076769A"/>
    <w:rsid w:val="00773DB7"/>
    <w:rsid w:val="00774D9E"/>
    <w:rsid w:val="007E0A6F"/>
    <w:rsid w:val="008B28A7"/>
    <w:rsid w:val="00902DC3"/>
    <w:rsid w:val="00904E5F"/>
    <w:rsid w:val="00927AED"/>
    <w:rsid w:val="009364DE"/>
    <w:rsid w:val="009733D9"/>
    <w:rsid w:val="009A6A46"/>
    <w:rsid w:val="009C10FC"/>
    <w:rsid w:val="009F554F"/>
    <w:rsid w:val="00A36FAC"/>
    <w:rsid w:val="00A769DE"/>
    <w:rsid w:val="00AD453A"/>
    <w:rsid w:val="00B76575"/>
    <w:rsid w:val="00B96D27"/>
    <w:rsid w:val="00BC4A9F"/>
    <w:rsid w:val="00BD2B95"/>
    <w:rsid w:val="00BE1E7E"/>
    <w:rsid w:val="00C041E4"/>
    <w:rsid w:val="00C42892"/>
    <w:rsid w:val="00C527A9"/>
    <w:rsid w:val="00C642BD"/>
    <w:rsid w:val="00C66FDB"/>
    <w:rsid w:val="00C9340C"/>
    <w:rsid w:val="00D0651B"/>
    <w:rsid w:val="00D964E3"/>
    <w:rsid w:val="00DA2F15"/>
    <w:rsid w:val="00DC6798"/>
    <w:rsid w:val="00E20557"/>
    <w:rsid w:val="00E45091"/>
    <w:rsid w:val="00E75EB4"/>
    <w:rsid w:val="00E77E72"/>
    <w:rsid w:val="00E92BE6"/>
    <w:rsid w:val="00EB14CC"/>
    <w:rsid w:val="00ED0C8A"/>
    <w:rsid w:val="00EE40C4"/>
    <w:rsid w:val="00F35DFB"/>
    <w:rsid w:val="00F528FF"/>
    <w:rsid w:val="00F7278B"/>
    <w:rsid w:val="00F7654B"/>
    <w:rsid w:val="00F84615"/>
    <w:rsid w:val="00FC3282"/>
    <w:rsid w:val="00FE4BB0"/>
    <w:rsid w:val="00FE7305"/>
    <w:rsid w:val="00FE7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FAEC27"/>
  <w15:chartTrackingRefBased/>
  <w15:docId w15:val="{CC467BD9-E221-4E9D-BCB8-6F5DB6B6D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BE1E7E"/>
    <w:pPr>
      <w:keepNext/>
      <w:keepLines/>
      <w:spacing w:before="120" w:after="120" w:line="240" w:lineRule="auto"/>
      <w:jc w:val="center"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0"/>
      <w:sz w:val="48"/>
      <w:szCs w:val="32"/>
      <w:lang w:val="pt-PT"/>
      <w14:ligatures w14:val="none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B15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E1E7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E1E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E1E7E"/>
  </w:style>
  <w:style w:type="paragraph" w:styleId="Rodap">
    <w:name w:val="footer"/>
    <w:basedOn w:val="Normal"/>
    <w:link w:val="RodapChar"/>
    <w:uiPriority w:val="99"/>
    <w:unhideWhenUsed/>
    <w:rsid w:val="00BE1E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qFormat/>
    <w:rsid w:val="00BE1E7E"/>
  </w:style>
  <w:style w:type="character" w:customStyle="1" w:styleId="Ttulo1Char">
    <w:name w:val="Título 1 Char"/>
    <w:basedOn w:val="Fontepargpadro"/>
    <w:link w:val="Ttulo1"/>
    <w:rsid w:val="00BE1E7E"/>
    <w:rPr>
      <w:rFonts w:asciiTheme="majorHAnsi" w:eastAsiaTheme="majorEastAsia" w:hAnsiTheme="majorHAnsi" w:cstheme="majorBidi"/>
      <w:color w:val="3B3838" w:themeColor="background2" w:themeShade="40"/>
      <w:kern w:val="0"/>
      <w:sz w:val="48"/>
      <w:szCs w:val="32"/>
      <w:lang w:val="pt-PT"/>
      <w14:ligatures w14:val="none"/>
    </w:rPr>
  </w:style>
  <w:style w:type="table" w:styleId="Tabelacomgrade">
    <w:name w:val="Table Grid"/>
    <w:basedOn w:val="Tabelanormal"/>
    <w:uiPriority w:val="39"/>
    <w:rsid w:val="00BE1E7E"/>
    <w:pPr>
      <w:spacing w:after="0" w:line="240" w:lineRule="auto"/>
    </w:pPr>
    <w:rPr>
      <w:kern w:val="0"/>
      <w:sz w:val="24"/>
      <w:szCs w:val="24"/>
      <w:lang w:val="pt-PT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qFormat/>
    <w:rsid w:val="00BE1E7E"/>
    <w:pPr>
      <w:widowControl w:val="0"/>
      <w:suppressAutoHyphens/>
      <w:autoSpaceDN w:val="0"/>
      <w:spacing w:after="0" w:line="240" w:lineRule="auto"/>
    </w:pPr>
    <w:rPr>
      <w:rFonts w:ascii="Calibri" w:eastAsia="Segoe UI" w:hAnsi="Calibri" w:cs="Tahoma"/>
      <w:color w:val="000000"/>
      <w:kern w:val="3"/>
      <w:sz w:val="24"/>
      <w:szCs w:val="24"/>
      <w:lang w:eastAsia="zh-CN" w:bidi="hi-IN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E1E7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ipodeletrapredefinidodopargrafo">
    <w:name w:val="Tipo de letra predefinido do parágrafo"/>
    <w:qFormat/>
    <w:rsid w:val="00373854"/>
  </w:style>
  <w:style w:type="character" w:customStyle="1" w:styleId="Ttulo2Char">
    <w:name w:val="Título 2 Char"/>
    <w:basedOn w:val="Fontepargpadro"/>
    <w:link w:val="Ttulo2"/>
    <w:uiPriority w:val="9"/>
    <w:semiHidden/>
    <w:rsid w:val="004B152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7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02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13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60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6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8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31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71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8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8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4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330333-43C4-4A4B-BAB9-F7615DDE4D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5869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fragalli</dc:creator>
  <cp:keywords/>
  <dc:description/>
  <cp:lastModifiedBy>ian fragalli</cp:lastModifiedBy>
  <cp:revision>16</cp:revision>
  <cp:lastPrinted>2026-04-14T20:07:00Z</cp:lastPrinted>
  <dcterms:created xsi:type="dcterms:W3CDTF">2025-08-21T14:29:00Z</dcterms:created>
  <dcterms:modified xsi:type="dcterms:W3CDTF">2026-07-20T12:26:00Z</dcterms:modified>
</cp:coreProperties>
</file>